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CC02" w14:textId="77777777" w:rsidR="00B85073" w:rsidRPr="007E017C" w:rsidRDefault="00B85073" w:rsidP="00046D7E">
      <w:pPr>
        <w:pStyle w:val="Standard"/>
        <w:spacing w:line="360" w:lineRule="auto"/>
        <w:jc w:val="center"/>
        <w:rPr>
          <w:b/>
          <w:sz w:val="24"/>
          <w:szCs w:val="24"/>
          <w:u w:val="single"/>
        </w:rPr>
      </w:pPr>
      <w:r w:rsidRPr="007E017C">
        <w:rPr>
          <w:b/>
          <w:sz w:val="24"/>
          <w:szCs w:val="24"/>
          <w:u w:val="single"/>
        </w:rPr>
        <w:t>ΑΝΑΦΟΡΑ ΕΡΓΑΣΤΗΡΙΑΚΗΣ ΑΣΚΗΣΗΣ 6 – ΔΥΝΑΜΙΚΟ ΤΗΣ ΜΕΜΒΡΑΝΗΣ</w:t>
      </w:r>
    </w:p>
    <w:p w14:paraId="661E078B" w14:textId="77777777" w:rsidR="00DE08EA" w:rsidRPr="007E017C" w:rsidRDefault="00DE08EA" w:rsidP="00046D7E">
      <w:pPr>
        <w:pStyle w:val="Standard"/>
        <w:spacing w:line="360" w:lineRule="auto"/>
        <w:jc w:val="both"/>
        <w:rPr>
          <w:b/>
          <w:sz w:val="24"/>
          <w:szCs w:val="24"/>
        </w:rPr>
      </w:pPr>
    </w:p>
    <w:p w14:paraId="50AB4B1B" w14:textId="6AB3D473" w:rsidR="00B85073" w:rsidRPr="007E017C" w:rsidRDefault="00DE08EA" w:rsidP="00046D7E">
      <w:pPr>
        <w:pStyle w:val="Standard"/>
        <w:spacing w:line="360" w:lineRule="auto"/>
        <w:jc w:val="both"/>
        <w:rPr>
          <w:b/>
          <w:sz w:val="24"/>
          <w:szCs w:val="24"/>
        </w:rPr>
      </w:pPr>
      <w:r w:rsidRPr="007E017C">
        <w:rPr>
          <w:b/>
          <w:sz w:val="24"/>
          <w:szCs w:val="24"/>
        </w:rPr>
        <w:t xml:space="preserve">Άσκηση 1 </w:t>
      </w:r>
      <w:r w:rsidR="00F95283" w:rsidRPr="007E017C">
        <w:rPr>
          <w:b/>
          <w:sz w:val="24"/>
          <w:szCs w:val="24"/>
        </w:rPr>
        <w:t>–</w:t>
      </w:r>
      <w:r w:rsidRPr="007E017C">
        <w:rPr>
          <w:b/>
          <w:sz w:val="24"/>
          <w:szCs w:val="24"/>
        </w:rPr>
        <w:t xml:space="preserve"> </w:t>
      </w:r>
      <w:r w:rsidR="00F95283" w:rsidRPr="007E017C">
        <w:rPr>
          <w:b/>
          <w:sz w:val="24"/>
          <w:szCs w:val="24"/>
        </w:rPr>
        <w:t xml:space="preserve">Επίδραση της </w:t>
      </w:r>
      <w:proofErr w:type="spellStart"/>
      <w:r w:rsidR="00F95283" w:rsidRPr="007E017C">
        <w:rPr>
          <w:b/>
          <w:sz w:val="24"/>
          <w:szCs w:val="24"/>
        </w:rPr>
        <w:t>εξωκυττάρια</w:t>
      </w:r>
      <w:r w:rsidR="00D23125">
        <w:rPr>
          <w:b/>
          <w:sz w:val="24"/>
          <w:szCs w:val="24"/>
        </w:rPr>
        <w:t>ς</w:t>
      </w:r>
      <w:proofErr w:type="spellEnd"/>
      <w:r w:rsidR="00F95283" w:rsidRPr="007E017C">
        <w:rPr>
          <w:b/>
          <w:sz w:val="24"/>
          <w:szCs w:val="24"/>
        </w:rPr>
        <w:t xml:space="preserve"> συγκέντρωσης του νατρίου και του καλίου </w:t>
      </w:r>
      <w:r w:rsidR="00512DA8" w:rsidRPr="007E017C">
        <w:rPr>
          <w:b/>
          <w:sz w:val="24"/>
          <w:szCs w:val="24"/>
        </w:rPr>
        <w:t>στο δυναμικό ισορροπίας και δυναμικό ηρεμίας της μεμβράνης</w:t>
      </w:r>
      <w:r w:rsidR="004E1D76" w:rsidRPr="00D23125">
        <w:rPr>
          <w:b/>
          <w:sz w:val="24"/>
          <w:szCs w:val="24"/>
        </w:rPr>
        <w:t xml:space="preserve">. </w:t>
      </w:r>
      <w:r w:rsidR="004E1D76" w:rsidRPr="007E017C">
        <w:rPr>
          <w:b/>
          <w:sz w:val="24"/>
          <w:szCs w:val="24"/>
        </w:rPr>
        <w:t xml:space="preserve">Χρησιμοποιήστε το φύλλο εργασίας </w:t>
      </w:r>
      <w:r w:rsidR="0077614A">
        <w:rPr>
          <w:b/>
          <w:sz w:val="24"/>
          <w:szCs w:val="24"/>
        </w:rPr>
        <w:t xml:space="preserve">«ΑΣΚΗΣΗ-1» </w:t>
      </w:r>
      <w:r w:rsidR="004E1D76" w:rsidRPr="007E017C">
        <w:rPr>
          <w:b/>
          <w:sz w:val="24"/>
          <w:szCs w:val="24"/>
        </w:rPr>
        <w:t xml:space="preserve">στο </w:t>
      </w:r>
      <w:r w:rsidR="004E1D76" w:rsidRPr="007E017C">
        <w:rPr>
          <w:b/>
          <w:sz w:val="24"/>
          <w:szCs w:val="24"/>
          <w:lang w:val="en-US"/>
        </w:rPr>
        <w:t>excel</w:t>
      </w:r>
      <w:r w:rsidR="004E1D76" w:rsidRPr="00D23125">
        <w:rPr>
          <w:b/>
          <w:sz w:val="24"/>
          <w:szCs w:val="24"/>
        </w:rPr>
        <w:t xml:space="preserve"> </w:t>
      </w:r>
      <w:r w:rsidR="004E1D76" w:rsidRPr="007E017C">
        <w:rPr>
          <w:b/>
          <w:sz w:val="24"/>
          <w:szCs w:val="24"/>
        </w:rPr>
        <w:t>αρχείο</w:t>
      </w:r>
    </w:p>
    <w:p w14:paraId="54CB1ED4" w14:textId="0F6A939E" w:rsidR="00512DA8" w:rsidRPr="00D23125" w:rsidRDefault="00512DA8" w:rsidP="00046D7E">
      <w:pPr>
        <w:pStyle w:val="Standard"/>
        <w:spacing w:line="360" w:lineRule="auto"/>
        <w:jc w:val="both"/>
        <w:rPr>
          <w:b/>
          <w:sz w:val="24"/>
          <w:szCs w:val="24"/>
        </w:rPr>
      </w:pPr>
    </w:p>
    <w:p w14:paraId="06ADDDC2" w14:textId="27561DA6" w:rsidR="00512DA8" w:rsidRDefault="00512DA8" w:rsidP="00046D7E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7E017C">
        <w:rPr>
          <w:bCs/>
          <w:sz w:val="24"/>
          <w:szCs w:val="24"/>
        </w:rPr>
        <w:t>1) υπολογίστε το δυναμικό ισορροπίας του νατρίου με τις παρακάτω συγκεντρώσεις: 140</w:t>
      </w:r>
      <w:r w:rsidRPr="007E017C">
        <w:rPr>
          <w:bCs/>
          <w:sz w:val="24"/>
          <w:szCs w:val="24"/>
          <w:lang w:val="en-US"/>
        </w:rPr>
        <w:t>mM</w:t>
      </w:r>
      <w:r w:rsidRPr="00D23125">
        <w:rPr>
          <w:bCs/>
          <w:sz w:val="24"/>
          <w:szCs w:val="24"/>
        </w:rPr>
        <w:t xml:space="preserve"> (</w:t>
      </w:r>
      <w:r w:rsidRPr="007E017C">
        <w:rPr>
          <w:bCs/>
          <w:sz w:val="24"/>
          <w:szCs w:val="24"/>
        </w:rPr>
        <w:t xml:space="preserve">φυσιολογικό), </w:t>
      </w:r>
      <w:r w:rsidRPr="00D23125">
        <w:rPr>
          <w:bCs/>
          <w:sz w:val="24"/>
          <w:szCs w:val="24"/>
        </w:rPr>
        <w:t>180</w:t>
      </w:r>
      <w:r w:rsidRPr="007E017C">
        <w:rPr>
          <w:bCs/>
          <w:sz w:val="24"/>
          <w:szCs w:val="24"/>
          <w:lang w:val="en-US"/>
        </w:rPr>
        <w:t>mM</w:t>
      </w:r>
      <w:r w:rsidRPr="00D23125">
        <w:rPr>
          <w:bCs/>
          <w:sz w:val="24"/>
          <w:szCs w:val="24"/>
        </w:rPr>
        <w:t xml:space="preserve"> (</w:t>
      </w:r>
      <w:r w:rsidRPr="007E017C">
        <w:rPr>
          <w:bCs/>
          <w:sz w:val="24"/>
          <w:szCs w:val="24"/>
        </w:rPr>
        <w:t>αυξημένη), 100</w:t>
      </w:r>
      <w:r w:rsidRPr="007E017C">
        <w:rPr>
          <w:bCs/>
          <w:sz w:val="24"/>
          <w:szCs w:val="24"/>
          <w:lang w:val="en-US"/>
        </w:rPr>
        <w:t>mM</w:t>
      </w:r>
      <w:r w:rsidRPr="00D23125">
        <w:rPr>
          <w:bCs/>
          <w:sz w:val="24"/>
          <w:szCs w:val="24"/>
        </w:rPr>
        <w:t xml:space="preserve"> </w:t>
      </w:r>
      <w:r w:rsidRPr="007E017C">
        <w:rPr>
          <w:bCs/>
          <w:sz w:val="24"/>
          <w:szCs w:val="24"/>
        </w:rPr>
        <w:t>(μειωμένη)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2410"/>
        <w:gridCol w:w="1417"/>
        <w:gridCol w:w="2268"/>
      </w:tblGrid>
      <w:tr w:rsidR="00C137C4" w:rsidRPr="00C137C4" w14:paraId="77F1D630" w14:textId="77777777" w:rsidTr="001A5A74">
        <w:trPr>
          <w:trHeight w:val="647"/>
        </w:trPr>
        <w:tc>
          <w:tcPr>
            <w:tcW w:w="2972" w:type="dxa"/>
            <w:hideMark/>
          </w:tcPr>
          <w:p w14:paraId="3891E535" w14:textId="77777777" w:rsidR="00C137C4" w:rsidRPr="00C137C4" w:rsidRDefault="00C137C4" w:rsidP="00A06869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Εξωκυττάρια συγκέντρωση νατρίου</w:t>
            </w:r>
          </w:p>
        </w:tc>
        <w:tc>
          <w:tcPr>
            <w:tcW w:w="2410" w:type="dxa"/>
            <w:hideMark/>
          </w:tcPr>
          <w:p w14:paraId="5012E9A9" w14:textId="77777777" w:rsidR="00C137C4" w:rsidRPr="00C137C4" w:rsidRDefault="00C137C4" w:rsidP="00A06869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Ενδοκυττάρια συγκέντρωση νατρίου</w:t>
            </w:r>
          </w:p>
        </w:tc>
        <w:tc>
          <w:tcPr>
            <w:tcW w:w="1417" w:type="dxa"/>
            <w:hideMark/>
          </w:tcPr>
          <w:p w14:paraId="009AD635" w14:textId="77777777" w:rsidR="00C137C4" w:rsidRPr="00C137C4" w:rsidRDefault="00C137C4" w:rsidP="00A06869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Σθένος</w:t>
            </w:r>
          </w:p>
        </w:tc>
        <w:tc>
          <w:tcPr>
            <w:tcW w:w="2268" w:type="dxa"/>
            <w:hideMark/>
          </w:tcPr>
          <w:p w14:paraId="4F18729D" w14:textId="4340788C" w:rsidR="00C137C4" w:rsidRPr="00C137C4" w:rsidRDefault="00C137C4" w:rsidP="00A06869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Δυναμικό ισορροπίας</w:t>
            </w:r>
          </w:p>
        </w:tc>
      </w:tr>
      <w:tr w:rsidR="00C137C4" w:rsidRPr="00C137C4" w14:paraId="6E7C151D" w14:textId="77777777" w:rsidTr="001A5A74">
        <w:trPr>
          <w:trHeight w:val="320"/>
        </w:trPr>
        <w:tc>
          <w:tcPr>
            <w:tcW w:w="2972" w:type="dxa"/>
            <w:hideMark/>
          </w:tcPr>
          <w:p w14:paraId="13B2DCFC" w14:textId="77777777" w:rsidR="00C137C4" w:rsidRPr="00C137C4" w:rsidRDefault="00C137C4" w:rsidP="00906601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2410" w:type="dxa"/>
            <w:hideMark/>
          </w:tcPr>
          <w:p w14:paraId="4FD4789A" w14:textId="77777777" w:rsidR="00C137C4" w:rsidRPr="00C137C4" w:rsidRDefault="00C137C4" w:rsidP="00906601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hideMark/>
          </w:tcPr>
          <w:p w14:paraId="2523899C" w14:textId="77777777" w:rsidR="00C137C4" w:rsidRPr="00C137C4" w:rsidRDefault="00C137C4" w:rsidP="00906601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hideMark/>
          </w:tcPr>
          <w:p w14:paraId="5F62DB18" w14:textId="14149840" w:rsidR="00C137C4" w:rsidRPr="00C137C4" w:rsidRDefault="00C137C4" w:rsidP="0090660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37C4" w:rsidRPr="00C137C4" w14:paraId="690EF12C" w14:textId="77777777" w:rsidTr="001A5A74">
        <w:trPr>
          <w:trHeight w:val="320"/>
        </w:trPr>
        <w:tc>
          <w:tcPr>
            <w:tcW w:w="2972" w:type="dxa"/>
            <w:hideMark/>
          </w:tcPr>
          <w:p w14:paraId="2942DADE" w14:textId="77777777" w:rsidR="00C137C4" w:rsidRPr="00C137C4" w:rsidRDefault="00C137C4" w:rsidP="00906601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2410" w:type="dxa"/>
            <w:hideMark/>
          </w:tcPr>
          <w:p w14:paraId="04D34EB1" w14:textId="77777777" w:rsidR="00C137C4" w:rsidRPr="00C137C4" w:rsidRDefault="00C137C4" w:rsidP="00906601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hideMark/>
          </w:tcPr>
          <w:p w14:paraId="397EA030" w14:textId="77777777" w:rsidR="00C137C4" w:rsidRPr="00C137C4" w:rsidRDefault="00C137C4" w:rsidP="00906601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hideMark/>
          </w:tcPr>
          <w:p w14:paraId="49D41AA4" w14:textId="41A685B6" w:rsidR="00C137C4" w:rsidRPr="00C137C4" w:rsidRDefault="00C137C4" w:rsidP="0090660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37C4" w:rsidRPr="00C137C4" w14:paraId="752623AB" w14:textId="77777777" w:rsidTr="001A5A74">
        <w:trPr>
          <w:trHeight w:val="320"/>
        </w:trPr>
        <w:tc>
          <w:tcPr>
            <w:tcW w:w="2972" w:type="dxa"/>
            <w:noWrap/>
            <w:hideMark/>
          </w:tcPr>
          <w:p w14:paraId="7D471EE4" w14:textId="77777777" w:rsidR="00C137C4" w:rsidRPr="00C137C4" w:rsidRDefault="00C137C4" w:rsidP="00906601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410" w:type="dxa"/>
            <w:noWrap/>
            <w:hideMark/>
          </w:tcPr>
          <w:p w14:paraId="2C78FEF9" w14:textId="77777777" w:rsidR="00C137C4" w:rsidRPr="00C137C4" w:rsidRDefault="00C137C4" w:rsidP="00906601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noWrap/>
            <w:hideMark/>
          </w:tcPr>
          <w:p w14:paraId="38DA70E5" w14:textId="77777777" w:rsidR="00C137C4" w:rsidRPr="00C137C4" w:rsidRDefault="00C137C4" w:rsidP="00906601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hideMark/>
          </w:tcPr>
          <w:p w14:paraId="2F29E43F" w14:textId="620D54F0" w:rsidR="00C137C4" w:rsidRPr="00C137C4" w:rsidRDefault="00C137C4" w:rsidP="0090660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3C837BE" w14:textId="77777777" w:rsidR="00C137C4" w:rsidRPr="007E017C" w:rsidRDefault="00C137C4" w:rsidP="00046D7E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73DE58AB" w14:textId="7E914A8B" w:rsidR="00512DA8" w:rsidRDefault="00512DA8" w:rsidP="00046D7E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7E017C">
        <w:rPr>
          <w:bCs/>
          <w:sz w:val="24"/>
          <w:szCs w:val="24"/>
        </w:rPr>
        <w:t>2) υπολογίστε το δυναμικό ισορροπίας του καλίου με τις παρακάτω συγκεντρώσεις: 4</w:t>
      </w:r>
      <w:r w:rsidRPr="007E017C">
        <w:rPr>
          <w:bCs/>
          <w:sz w:val="24"/>
          <w:szCs w:val="24"/>
          <w:lang w:val="en-US"/>
        </w:rPr>
        <w:t>mM</w:t>
      </w:r>
      <w:r w:rsidRPr="00D23125">
        <w:rPr>
          <w:bCs/>
          <w:sz w:val="24"/>
          <w:szCs w:val="24"/>
        </w:rPr>
        <w:t xml:space="preserve"> (</w:t>
      </w:r>
      <w:r w:rsidRPr="007E017C">
        <w:rPr>
          <w:bCs/>
          <w:sz w:val="24"/>
          <w:szCs w:val="24"/>
        </w:rPr>
        <w:t xml:space="preserve">φυσιολογικό), </w:t>
      </w:r>
      <w:r w:rsidR="00704FC7" w:rsidRPr="00D23125">
        <w:rPr>
          <w:bCs/>
          <w:sz w:val="24"/>
          <w:szCs w:val="24"/>
        </w:rPr>
        <w:t>6</w:t>
      </w:r>
      <w:r w:rsidRPr="007E017C">
        <w:rPr>
          <w:bCs/>
          <w:sz w:val="24"/>
          <w:szCs w:val="24"/>
          <w:lang w:val="en-US"/>
        </w:rPr>
        <w:t>mM</w:t>
      </w:r>
      <w:r w:rsidRPr="00D23125">
        <w:rPr>
          <w:bCs/>
          <w:sz w:val="24"/>
          <w:szCs w:val="24"/>
        </w:rPr>
        <w:t xml:space="preserve"> (</w:t>
      </w:r>
      <w:r w:rsidRPr="007E017C">
        <w:rPr>
          <w:bCs/>
          <w:sz w:val="24"/>
          <w:szCs w:val="24"/>
        </w:rPr>
        <w:t xml:space="preserve">αυξημένη), </w:t>
      </w:r>
      <w:r w:rsidR="00704FC7" w:rsidRPr="00D23125">
        <w:rPr>
          <w:bCs/>
          <w:sz w:val="24"/>
          <w:szCs w:val="24"/>
        </w:rPr>
        <w:t>2</w:t>
      </w:r>
      <w:r w:rsidRPr="007E017C">
        <w:rPr>
          <w:bCs/>
          <w:sz w:val="24"/>
          <w:szCs w:val="24"/>
          <w:lang w:val="en-US"/>
        </w:rPr>
        <w:t>mM</w:t>
      </w:r>
      <w:r w:rsidRPr="00D23125">
        <w:rPr>
          <w:bCs/>
          <w:sz w:val="24"/>
          <w:szCs w:val="24"/>
        </w:rPr>
        <w:t xml:space="preserve"> </w:t>
      </w:r>
      <w:r w:rsidRPr="007E017C">
        <w:rPr>
          <w:bCs/>
          <w:sz w:val="24"/>
          <w:szCs w:val="24"/>
        </w:rPr>
        <w:t>(μειωμένη)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2410"/>
        <w:gridCol w:w="1417"/>
        <w:gridCol w:w="2268"/>
      </w:tblGrid>
      <w:tr w:rsidR="00733ED6" w:rsidRPr="00C137C4" w14:paraId="0E08752F" w14:textId="77777777" w:rsidTr="00C87402">
        <w:trPr>
          <w:trHeight w:val="647"/>
        </w:trPr>
        <w:tc>
          <w:tcPr>
            <w:tcW w:w="2972" w:type="dxa"/>
            <w:hideMark/>
          </w:tcPr>
          <w:p w14:paraId="25AA22E6" w14:textId="06DA45F2" w:rsidR="00733ED6" w:rsidRPr="00C137C4" w:rsidRDefault="00733ED6" w:rsidP="00C8740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 xml:space="preserve">Εξωκυττάρια συγκέντρωση </w:t>
            </w:r>
            <w:proofErr w:type="spellStart"/>
            <w:r>
              <w:rPr>
                <w:rFonts w:ascii="Calibri" w:hAnsi="Calibri" w:cs="Calibri"/>
                <w:color w:val="000000"/>
                <w:lang w:val="el-GR"/>
              </w:rPr>
              <w:t>καλ</w:t>
            </w:r>
            <w:proofErr w:type="spellEnd"/>
            <w:r w:rsidRPr="00C137C4">
              <w:rPr>
                <w:rFonts w:ascii="Calibri" w:hAnsi="Calibri" w:cs="Calibri"/>
                <w:color w:val="000000"/>
              </w:rPr>
              <w:t>ίου</w:t>
            </w:r>
          </w:p>
        </w:tc>
        <w:tc>
          <w:tcPr>
            <w:tcW w:w="2410" w:type="dxa"/>
            <w:hideMark/>
          </w:tcPr>
          <w:p w14:paraId="0B098B1A" w14:textId="7D6D58C2" w:rsidR="00733ED6" w:rsidRPr="00C137C4" w:rsidRDefault="00733ED6" w:rsidP="00C8740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 xml:space="preserve">Ενδοκυττάρια συγκέντρωση </w:t>
            </w:r>
            <w:proofErr w:type="spellStart"/>
            <w:r>
              <w:rPr>
                <w:rFonts w:ascii="Calibri" w:hAnsi="Calibri" w:cs="Calibri"/>
                <w:color w:val="000000"/>
                <w:lang w:val="el-GR"/>
              </w:rPr>
              <w:t>καλ</w:t>
            </w:r>
            <w:proofErr w:type="spellEnd"/>
            <w:r w:rsidRPr="00C137C4">
              <w:rPr>
                <w:rFonts w:ascii="Calibri" w:hAnsi="Calibri" w:cs="Calibri"/>
                <w:color w:val="000000"/>
              </w:rPr>
              <w:t>ίου</w:t>
            </w:r>
          </w:p>
        </w:tc>
        <w:tc>
          <w:tcPr>
            <w:tcW w:w="1417" w:type="dxa"/>
            <w:hideMark/>
          </w:tcPr>
          <w:p w14:paraId="082A2B1B" w14:textId="77777777" w:rsidR="00733ED6" w:rsidRPr="00C137C4" w:rsidRDefault="00733ED6" w:rsidP="00C8740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Σθένος</w:t>
            </w:r>
          </w:p>
        </w:tc>
        <w:tc>
          <w:tcPr>
            <w:tcW w:w="2268" w:type="dxa"/>
            <w:hideMark/>
          </w:tcPr>
          <w:p w14:paraId="54C4694C" w14:textId="77777777" w:rsidR="00733ED6" w:rsidRPr="00C137C4" w:rsidRDefault="00733ED6" w:rsidP="00C87402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Δυναμικό ισορροπίας</w:t>
            </w:r>
          </w:p>
        </w:tc>
      </w:tr>
      <w:tr w:rsidR="00733ED6" w:rsidRPr="00C137C4" w14:paraId="42BC2DD7" w14:textId="77777777" w:rsidTr="00C87402">
        <w:trPr>
          <w:trHeight w:val="320"/>
        </w:trPr>
        <w:tc>
          <w:tcPr>
            <w:tcW w:w="2972" w:type="dxa"/>
            <w:hideMark/>
          </w:tcPr>
          <w:p w14:paraId="7584471D" w14:textId="6C33508C" w:rsidR="00733ED6" w:rsidRPr="00DE1515" w:rsidRDefault="00DE1515" w:rsidP="00C8740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2410" w:type="dxa"/>
            <w:hideMark/>
          </w:tcPr>
          <w:p w14:paraId="6EA928D4" w14:textId="77CCD2BC" w:rsidR="00733ED6" w:rsidRPr="00DE1515" w:rsidRDefault="00733ED6" w:rsidP="00C8740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C137C4">
              <w:rPr>
                <w:rFonts w:ascii="Calibri" w:hAnsi="Calibri" w:cs="Calibri"/>
                <w:color w:val="000000"/>
              </w:rPr>
              <w:t>1</w:t>
            </w:r>
            <w:r w:rsidR="00DE1515"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1417" w:type="dxa"/>
            <w:hideMark/>
          </w:tcPr>
          <w:p w14:paraId="6A90529C" w14:textId="77777777" w:rsidR="00733ED6" w:rsidRPr="00C137C4" w:rsidRDefault="00733ED6" w:rsidP="00C8740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hideMark/>
          </w:tcPr>
          <w:p w14:paraId="3DBE25C8" w14:textId="77777777" w:rsidR="00733ED6" w:rsidRPr="00C137C4" w:rsidRDefault="00733ED6" w:rsidP="00C874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33ED6" w:rsidRPr="00C137C4" w14:paraId="4B182D9E" w14:textId="77777777" w:rsidTr="00C87402">
        <w:trPr>
          <w:trHeight w:val="320"/>
        </w:trPr>
        <w:tc>
          <w:tcPr>
            <w:tcW w:w="2972" w:type="dxa"/>
            <w:hideMark/>
          </w:tcPr>
          <w:p w14:paraId="4837762F" w14:textId="05C9563F" w:rsidR="00733ED6" w:rsidRPr="00C137C4" w:rsidRDefault="00DE1515" w:rsidP="00C874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2410" w:type="dxa"/>
            <w:hideMark/>
          </w:tcPr>
          <w:p w14:paraId="12BDC431" w14:textId="07BD6B44" w:rsidR="00733ED6" w:rsidRPr="00DE1515" w:rsidRDefault="00733ED6" w:rsidP="00C8740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C137C4">
              <w:rPr>
                <w:rFonts w:ascii="Calibri" w:hAnsi="Calibri" w:cs="Calibri"/>
                <w:color w:val="000000"/>
              </w:rPr>
              <w:t>15</w:t>
            </w:r>
            <w:r w:rsidR="00DE1515"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hideMark/>
          </w:tcPr>
          <w:p w14:paraId="151C3A7C" w14:textId="77777777" w:rsidR="00733ED6" w:rsidRPr="00C137C4" w:rsidRDefault="00733ED6" w:rsidP="00C8740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hideMark/>
          </w:tcPr>
          <w:p w14:paraId="76FC60BD" w14:textId="77777777" w:rsidR="00733ED6" w:rsidRPr="00C137C4" w:rsidRDefault="00733ED6" w:rsidP="00C874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33ED6" w:rsidRPr="00C137C4" w14:paraId="11FDE386" w14:textId="77777777" w:rsidTr="00C87402">
        <w:trPr>
          <w:trHeight w:val="320"/>
        </w:trPr>
        <w:tc>
          <w:tcPr>
            <w:tcW w:w="2972" w:type="dxa"/>
            <w:noWrap/>
            <w:hideMark/>
          </w:tcPr>
          <w:p w14:paraId="799AE315" w14:textId="41BEB4A2" w:rsidR="00733ED6" w:rsidRPr="00C137C4" w:rsidRDefault="00DE1515" w:rsidP="00DE1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410" w:type="dxa"/>
            <w:noWrap/>
            <w:hideMark/>
          </w:tcPr>
          <w:p w14:paraId="460690EB" w14:textId="08C8B1A6" w:rsidR="00733ED6" w:rsidRPr="00DE1515" w:rsidRDefault="00733ED6" w:rsidP="00C8740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C137C4">
              <w:rPr>
                <w:rFonts w:ascii="Calibri" w:hAnsi="Calibri" w:cs="Calibri"/>
                <w:color w:val="000000"/>
              </w:rPr>
              <w:t>15</w:t>
            </w:r>
            <w:r w:rsidR="00DE1515"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04F25D9E" w14:textId="77777777" w:rsidR="00733ED6" w:rsidRPr="00C137C4" w:rsidRDefault="00733ED6" w:rsidP="00C8740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37C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hideMark/>
          </w:tcPr>
          <w:p w14:paraId="60FE2C7F" w14:textId="77777777" w:rsidR="00733ED6" w:rsidRPr="00C137C4" w:rsidRDefault="00733ED6" w:rsidP="00C874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96F2B8A" w14:textId="77777777" w:rsidR="0023321F" w:rsidRPr="007E017C" w:rsidRDefault="0023321F" w:rsidP="00046D7E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7611BFCE" w14:textId="0FE08DBC" w:rsidR="007533DD" w:rsidRDefault="007533DD" w:rsidP="00046D7E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7E017C">
        <w:rPr>
          <w:bCs/>
          <w:sz w:val="24"/>
          <w:szCs w:val="24"/>
        </w:rPr>
        <w:t>3) υπολογίστε το δυναμικό ηρεμίας της μεμβράνης με τις παρακάτω συγκεντρώσεις νατρίου: 140</w:t>
      </w:r>
      <w:r w:rsidRPr="007E017C">
        <w:rPr>
          <w:bCs/>
          <w:sz w:val="24"/>
          <w:szCs w:val="24"/>
          <w:lang w:val="en-US"/>
        </w:rPr>
        <w:t>mM</w:t>
      </w:r>
      <w:r w:rsidRPr="00D23125">
        <w:rPr>
          <w:bCs/>
          <w:sz w:val="24"/>
          <w:szCs w:val="24"/>
        </w:rPr>
        <w:t xml:space="preserve"> (</w:t>
      </w:r>
      <w:r w:rsidRPr="007E017C">
        <w:rPr>
          <w:bCs/>
          <w:sz w:val="24"/>
          <w:szCs w:val="24"/>
        </w:rPr>
        <w:t xml:space="preserve">φυσιολογικό), </w:t>
      </w:r>
      <w:r w:rsidRPr="00D23125">
        <w:rPr>
          <w:bCs/>
          <w:sz w:val="24"/>
          <w:szCs w:val="24"/>
        </w:rPr>
        <w:t>180</w:t>
      </w:r>
      <w:r w:rsidRPr="007E017C">
        <w:rPr>
          <w:bCs/>
          <w:sz w:val="24"/>
          <w:szCs w:val="24"/>
          <w:lang w:val="en-US"/>
        </w:rPr>
        <w:t>mM</w:t>
      </w:r>
      <w:r w:rsidRPr="00D23125">
        <w:rPr>
          <w:bCs/>
          <w:sz w:val="24"/>
          <w:szCs w:val="24"/>
        </w:rPr>
        <w:t xml:space="preserve"> (</w:t>
      </w:r>
      <w:r w:rsidRPr="007E017C">
        <w:rPr>
          <w:bCs/>
          <w:sz w:val="24"/>
          <w:szCs w:val="24"/>
        </w:rPr>
        <w:t>αυξημένη), 100</w:t>
      </w:r>
      <w:r w:rsidRPr="007E017C">
        <w:rPr>
          <w:bCs/>
          <w:sz w:val="24"/>
          <w:szCs w:val="24"/>
          <w:lang w:val="en-US"/>
        </w:rPr>
        <w:t>mM</w:t>
      </w:r>
      <w:r w:rsidRPr="00D23125">
        <w:rPr>
          <w:bCs/>
          <w:sz w:val="24"/>
          <w:szCs w:val="24"/>
        </w:rPr>
        <w:t xml:space="preserve"> </w:t>
      </w:r>
      <w:r w:rsidRPr="007E017C">
        <w:rPr>
          <w:bCs/>
          <w:sz w:val="24"/>
          <w:szCs w:val="24"/>
        </w:rPr>
        <w:t>(μειωμένη)</w:t>
      </w:r>
      <w:r w:rsidR="00EC5C19">
        <w:rPr>
          <w:bCs/>
          <w:sz w:val="24"/>
          <w:szCs w:val="24"/>
        </w:rPr>
        <w:t xml:space="preserve"> (συνθήκη 1</w:t>
      </w:r>
      <w:r w:rsidR="00C22FF4">
        <w:rPr>
          <w:bCs/>
          <w:sz w:val="24"/>
          <w:szCs w:val="24"/>
        </w:rPr>
        <w:t>, 2 και 3</w:t>
      </w:r>
      <w:r w:rsidR="00EC5C19">
        <w:rPr>
          <w:bCs/>
          <w:sz w:val="24"/>
          <w:szCs w:val="24"/>
        </w:rPr>
        <w:t>)</w:t>
      </w:r>
    </w:p>
    <w:p w14:paraId="21B495B0" w14:textId="23E75E6F" w:rsidR="00E82ECF" w:rsidRDefault="00AE31F0" w:rsidP="00E82ECF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7E017C">
        <w:rPr>
          <w:bCs/>
          <w:sz w:val="24"/>
          <w:szCs w:val="24"/>
        </w:rPr>
        <w:t xml:space="preserve">4) υπολογίστε το δυναμικό ηρεμίας </w:t>
      </w:r>
      <w:r w:rsidR="003A4195">
        <w:rPr>
          <w:bCs/>
          <w:sz w:val="24"/>
          <w:szCs w:val="24"/>
        </w:rPr>
        <w:t>της μεμβράνης</w:t>
      </w:r>
      <w:r w:rsidRPr="007E017C">
        <w:rPr>
          <w:bCs/>
          <w:sz w:val="24"/>
          <w:szCs w:val="24"/>
        </w:rPr>
        <w:t xml:space="preserve"> με τις παρακάτω συγκεντρώσεις καλίου: 4</w:t>
      </w:r>
      <w:r w:rsidRPr="007E017C">
        <w:rPr>
          <w:bCs/>
          <w:sz w:val="24"/>
          <w:szCs w:val="24"/>
          <w:lang w:val="en-US"/>
        </w:rPr>
        <w:t>mM</w:t>
      </w:r>
      <w:r w:rsidRPr="00D23125">
        <w:rPr>
          <w:bCs/>
          <w:sz w:val="24"/>
          <w:szCs w:val="24"/>
        </w:rPr>
        <w:t xml:space="preserve"> (</w:t>
      </w:r>
      <w:r w:rsidRPr="007E017C">
        <w:rPr>
          <w:bCs/>
          <w:sz w:val="24"/>
          <w:szCs w:val="24"/>
        </w:rPr>
        <w:t xml:space="preserve">φυσιολογικό), </w:t>
      </w:r>
      <w:r w:rsidRPr="00D23125">
        <w:rPr>
          <w:bCs/>
          <w:sz w:val="24"/>
          <w:szCs w:val="24"/>
        </w:rPr>
        <w:t>6</w:t>
      </w:r>
      <w:r w:rsidRPr="007E017C">
        <w:rPr>
          <w:bCs/>
          <w:sz w:val="24"/>
          <w:szCs w:val="24"/>
          <w:lang w:val="en-US"/>
        </w:rPr>
        <w:t>mM</w:t>
      </w:r>
      <w:r w:rsidRPr="00D23125">
        <w:rPr>
          <w:bCs/>
          <w:sz w:val="24"/>
          <w:szCs w:val="24"/>
        </w:rPr>
        <w:t xml:space="preserve"> (</w:t>
      </w:r>
      <w:r w:rsidRPr="007E017C">
        <w:rPr>
          <w:bCs/>
          <w:sz w:val="24"/>
          <w:szCs w:val="24"/>
        </w:rPr>
        <w:t xml:space="preserve">αυξημένη), </w:t>
      </w:r>
      <w:r w:rsidRPr="00D23125">
        <w:rPr>
          <w:bCs/>
          <w:sz w:val="24"/>
          <w:szCs w:val="24"/>
        </w:rPr>
        <w:t>2</w:t>
      </w:r>
      <w:r w:rsidRPr="007E017C">
        <w:rPr>
          <w:bCs/>
          <w:sz w:val="24"/>
          <w:szCs w:val="24"/>
          <w:lang w:val="en-US"/>
        </w:rPr>
        <w:t>mM</w:t>
      </w:r>
      <w:r w:rsidRPr="00D23125">
        <w:rPr>
          <w:bCs/>
          <w:sz w:val="24"/>
          <w:szCs w:val="24"/>
        </w:rPr>
        <w:t xml:space="preserve"> </w:t>
      </w:r>
      <w:r w:rsidRPr="007E017C">
        <w:rPr>
          <w:bCs/>
          <w:sz w:val="24"/>
          <w:szCs w:val="24"/>
        </w:rPr>
        <w:t>(μειωμένη)</w:t>
      </w:r>
      <w:r w:rsidR="00E82ECF" w:rsidRPr="00E82ECF">
        <w:rPr>
          <w:bCs/>
          <w:sz w:val="24"/>
          <w:szCs w:val="24"/>
        </w:rPr>
        <w:t xml:space="preserve"> </w:t>
      </w:r>
      <w:r w:rsidR="00E82ECF">
        <w:rPr>
          <w:bCs/>
          <w:sz w:val="24"/>
          <w:szCs w:val="24"/>
        </w:rPr>
        <w:t>(συνθήκη 1, 4 και 5)</w:t>
      </w:r>
    </w:p>
    <w:tbl>
      <w:tblPr>
        <w:tblpPr w:leftFromText="180" w:rightFromText="180" w:vertAnchor="text" w:horzAnchor="margin" w:tblpXSpec="center" w:tblpY="167"/>
        <w:tblW w:w="9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134"/>
        <w:gridCol w:w="1134"/>
        <w:gridCol w:w="993"/>
        <w:gridCol w:w="992"/>
        <w:gridCol w:w="1134"/>
        <w:gridCol w:w="1134"/>
        <w:gridCol w:w="1559"/>
      </w:tblGrid>
      <w:tr w:rsidR="0015256A" w14:paraId="1FE83485" w14:textId="77777777" w:rsidTr="002A2AC8">
        <w:trPr>
          <w:trHeight w:val="1020"/>
        </w:trPr>
        <w:tc>
          <w:tcPr>
            <w:tcW w:w="1119" w:type="dxa"/>
            <w:vAlign w:val="center"/>
          </w:tcPr>
          <w:p w14:paraId="5E7EAAFD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Συνθήκη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72981B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[Νάτριο]έξω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4228BD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[Νάτριο]μέσα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21A7D5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[Κάλιο]έξω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309A07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[Κάλιο]μέσα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91DDEC" w14:textId="7DABA141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[Χ</w:t>
            </w:r>
            <w:r w:rsidR="0015256A">
              <w:rPr>
                <w:rFonts w:ascii="Calibri" w:hAnsi="Calibri" w:cs="Calibri"/>
                <w:color w:val="000000"/>
                <w:lang w:val="el-GR"/>
              </w:rPr>
              <w:t>λ</w:t>
            </w:r>
            <w:r>
              <w:rPr>
                <w:rFonts w:ascii="Calibri" w:hAnsi="Calibri" w:cs="Calibri"/>
                <w:color w:val="000000"/>
                <w:lang w:val="el-GR"/>
              </w:rPr>
              <w:t>ώριο]έξω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FBAFB4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[Χλώριο]μέσα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9067BA" w14:textId="4634E6E2" w:rsidR="00220E7D" w:rsidRPr="00950298" w:rsidRDefault="00220E7D" w:rsidP="002A2AC8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Δυναμικό της μεμβράν</w:t>
            </w:r>
            <w:r w:rsidR="0015256A">
              <w:rPr>
                <w:rFonts w:ascii="Calibri" w:hAnsi="Calibri" w:cs="Calibri"/>
                <w:color w:val="000000"/>
                <w:lang w:val="el-GR"/>
              </w:rPr>
              <w:t>ης</w:t>
            </w:r>
          </w:p>
        </w:tc>
      </w:tr>
      <w:tr w:rsidR="0015256A" w14:paraId="75F22E28" w14:textId="77777777" w:rsidTr="002A2AC8">
        <w:trPr>
          <w:trHeight w:val="320"/>
        </w:trPr>
        <w:tc>
          <w:tcPr>
            <w:tcW w:w="1119" w:type="dxa"/>
            <w:vAlign w:val="center"/>
          </w:tcPr>
          <w:p w14:paraId="2A33A603" w14:textId="77777777" w:rsidR="00220E7D" w:rsidRPr="00530D00" w:rsidRDefault="00220E7D" w:rsidP="002A2AC8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7496CF" w14:textId="511C1759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039FA">
              <w:rPr>
                <w:rFonts w:ascii="Calibri" w:hAnsi="Calibri" w:cs="Calibri"/>
                <w:color w:val="000000"/>
                <w:lang w:val="el-GR"/>
              </w:rPr>
              <w:t>4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CA5540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3527C1" w14:textId="2C83F794" w:rsidR="00220E7D" w:rsidRPr="00DE1515" w:rsidRDefault="00DE1515" w:rsidP="002A2AC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F719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0E47B5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E1CB7D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4840FE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256A" w14:paraId="0986C453" w14:textId="77777777" w:rsidTr="002A2AC8">
        <w:trPr>
          <w:trHeight w:val="320"/>
        </w:trPr>
        <w:tc>
          <w:tcPr>
            <w:tcW w:w="1119" w:type="dxa"/>
            <w:vAlign w:val="center"/>
          </w:tcPr>
          <w:p w14:paraId="66E1A539" w14:textId="77777777" w:rsidR="00220E7D" w:rsidRPr="00530D00" w:rsidRDefault="00220E7D" w:rsidP="002A2AC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l-G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C5CBC" w14:textId="77777777" w:rsidR="00220E7D" w:rsidRDefault="00220E7D" w:rsidP="002A2A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CEA11E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07C973" w14:textId="507E4CE8" w:rsidR="00220E7D" w:rsidRPr="00DE1515" w:rsidRDefault="00DE1515" w:rsidP="002A2AC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81A8B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F1133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3AF0A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CEE07C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256A" w14:paraId="38B9827C" w14:textId="77777777" w:rsidTr="002A2AC8">
        <w:trPr>
          <w:trHeight w:val="320"/>
        </w:trPr>
        <w:tc>
          <w:tcPr>
            <w:tcW w:w="1119" w:type="dxa"/>
            <w:vAlign w:val="center"/>
          </w:tcPr>
          <w:p w14:paraId="12265E60" w14:textId="77777777" w:rsidR="00220E7D" w:rsidRPr="00530D00" w:rsidRDefault="00220E7D" w:rsidP="002A2AC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l-GR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FF4185" w14:textId="77777777" w:rsidR="00220E7D" w:rsidRDefault="00220E7D" w:rsidP="002A2A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17172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E9EBFF" w14:textId="33F1D399" w:rsidR="00220E7D" w:rsidRPr="00DE1515" w:rsidRDefault="00DE1515" w:rsidP="002A2AC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0F575A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6D6A3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B4F4DF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22D7B2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256A" w14:paraId="657D1BD8" w14:textId="77777777" w:rsidTr="002A2AC8">
        <w:trPr>
          <w:trHeight w:val="320"/>
        </w:trPr>
        <w:tc>
          <w:tcPr>
            <w:tcW w:w="1119" w:type="dxa"/>
            <w:vAlign w:val="center"/>
          </w:tcPr>
          <w:p w14:paraId="3FCF9914" w14:textId="77777777" w:rsidR="00220E7D" w:rsidRPr="00530D00" w:rsidRDefault="00220E7D" w:rsidP="002A2AC8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0596D" w14:textId="6AFF5152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039FA">
              <w:rPr>
                <w:rFonts w:ascii="Calibri" w:hAnsi="Calibri" w:cs="Calibri"/>
                <w:color w:val="000000"/>
                <w:lang w:val="el-GR"/>
              </w:rPr>
              <w:t>4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E3772D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5FC53F" w14:textId="011047AB" w:rsidR="00220E7D" w:rsidRPr="00DE1515" w:rsidRDefault="00DE1515" w:rsidP="002A2AC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F022A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A2DDE6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2795D3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AB8E41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256A" w14:paraId="0371B299" w14:textId="77777777" w:rsidTr="002A2AC8">
        <w:trPr>
          <w:trHeight w:val="320"/>
        </w:trPr>
        <w:tc>
          <w:tcPr>
            <w:tcW w:w="1119" w:type="dxa"/>
            <w:vAlign w:val="center"/>
          </w:tcPr>
          <w:p w14:paraId="0BA20B35" w14:textId="77777777" w:rsidR="00220E7D" w:rsidRPr="00530D00" w:rsidRDefault="00220E7D" w:rsidP="002A2AC8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94ACA5" w14:textId="1FCD560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039FA">
              <w:rPr>
                <w:rFonts w:ascii="Calibri" w:hAnsi="Calibri" w:cs="Calibri"/>
                <w:color w:val="000000"/>
                <w:lang w:val="el-GR"/>
              </w:rPr>
              <w:t>4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B01F36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AA62B1" w14:textId="77777777" w:rsidR="00220E7D" w:rsidRPr="001724A0" w:rsidRDefault="00220E7D" w:rsidP="002A2AC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98CE62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25446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D7F6FE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2B47E3" w14:textId="77777777" w:rsidR="00220E7D" w:rsidRDefault="00220E7D" w:rsidP="002A2A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FBA62D9" w14:textId="27DF3A7C" w:rsidR="00AE31F0" w:rsidRDefault="00AE31F0" w:rsidP="00AE31F0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08639792" w14:textId="77777777" w:rsidR="00AE31F0" w:rsidRDefault="00AE31F0" w:rsidP="00046D7E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0A2DE625" w14:textId="77777777" w:rsidR="00B85073" w:rsidRPr="007E017C" w:rsidRDefault="00B85073" w:rsidP="00046D7E">
      <w:pPr>
        <w:pStyle w:val="Standard"/>
        <w:spacing w:line="360" w:lineRule="auto"/>
        <w:rPr>
          <w:sz w:val="24"/>
          <w:szCs w:val="24"/>
          <w:u w:val="single"/>
        </w:rPr>
      </w:pPr>
      <w:r w:rsidRPr="007E017C">
        <w:rPr>
          <w:sz w:val="24"/>
          <w:szCs w:val="24"/>
          <w:u w:val="single"/>
        </w:rPr>
        <w:lastRenderedPageBreak/>
        <w:t>Ερωτήσεις</w:t>
      </w:r>
    </w:p>
    <w:p w14:paraId="4B1FFBAC" w14:textId="3121A149" w:rsidR="00B85073" w:rsidRPr="007E017C" w:rsidRDefault="00BD3764" w:rsidP="00046D7E">
      <w:pPr>
        <w:pStyle w:val="ListParagraph"/>
        <w:widowControl/>
        <w:numPr>
          <w:ilvl w:val="0"/>
          <w:numId w:val="1"/>
        </w:numPr>
        <w:spacing w:after="200" w:line="360" w:lineRule="auto"/>
        <w:ind w:left="709" w:firstLine="11"/>
        <w:rPr>
          <w:sz w:val="24"/>
          <w:szCs w:val="24"/>
        </w:rPr>
      </w:pPr>
      <w:r w:rsidRPr="007E017C">
        <w:rPr>
          <w:sz w:val="24"/>
          <w:szCs w:val="24"/>
        </w:rPr>
        <w:t xml:space="preserve">Πώς επηρεάζει η </w:t>
      </w:r>
      <w:proofErr w:type="spellStart"/>
      <w:r w:rsidR="00EB2801">
        <w:rPr>
          <w:sz w:val="24"/>
          <w:szCs w:val="24"/>
        </w:rPr>
        <w:t>εξωκυττάρια</w:t>
      </w:r>
      <w:proofErr w:type="spellEnd"/>
      <w:r w:rsidR="00EB2801">
        <w:rPr>
          <w:sz w:val="24"/>
          <w:szCs w:val="24"/>
        </w:rPr>
        <w:t xml:space="preserve"> </w:t>
      </w:r>
      <w:r w:rsidR="00BD7100" w:rsidRPr="007E017C">
        <w:rPr>
          <w:sz w:val="24"/>
          <w:szCs w:val="24"/>
        </w:rPr>
        <w:t>συγκέντρωση</w:t>
      </w:r>
      <w:r w:rsidRPr="007E017C">
        <w:rPr>
          <w:sz w:val="24"/>
          <w:szCs w:val="24"/>
        </w:rPr>
        <w:t xml:space="preserve"> του νατρίου το δυναμικό </w:t>
      </w:r>
      <w:r w:rsidR="00EB2801">
        <w:rPr>
          <w:sz w:val="24"/>
          <w:szCs w:val="24"/>
        </w:rPr>
        <w:t>ισορροπίας του νατρίου</w:t>
      </w:r>
      <w:r w:rsidR="00A94FDA">
        <w:rPr>
          <w:sz w:val="24"/>
          <w:szCs w:val="24"/>
        </w:rPr>
        <w:t>;</w:t>
      </w:r>
    </w:p>
    <w:p w14:paraId="1881A838" w14:textId="202B37C8" w:rsidR="00BD3764" w:rsidRDefault="00BD3764" w:rsidP="00046D7E">
      <w:pPr>
        <w:pStyle w:val="ListParagraph"/>
        <w:widowControl/>
        <w:numPr>
          <w:ilvl w:val="0"/>
          <w:numId w:val="1"/>
        </w:numPr>
        <w:spacing w:after="200" w:line="360" w:lineRule="auto"/>
        <w:rPr>
          <w:sz w:val="24"/>
          <w:szCs w:val="24"/>
        </w:rPr>
      </w:pPr>
      <w:r w:rsidRPr="007E017C">
        <w:rPr>
          <w:sz w:val="24"/>
          <w:szCs w:val="24"/>
        </w:rPr>
        <w:t xml:space="preserve">Πώς επηρεάζει η </w:t>
      </w:r>
      <w:proofErr w:type="spellStart"/>
      <w:r w:rsidR="00EB2801">
        <w:rPr>
          <w:sz w:val="24"/>
          <w:szCs w:val="24"/>
        </w:rPr>
        <w:t>εξωκυττάρια</w:t>
      </w:r>
      <w:proofErr w:type="spellEnd"/>
      <w:r w:rsidR="00EB2801">
        <w:rPr>
          <w:sz w:val="24"/>
          <w:szCs w:val="24"/>
        </w:rPr>
        <w:t xml:space="preserve"> </w:t>
      </w:r>
      <w:r w:rsidRPr="007E017C">
        <w:rPr>
          <w:sz w:val="24"/>
          <w:szCs w:val="24"/>
        </w:rPr>
        <w:t xml:space="preserve">συγκέντρωση του καλίου το </w:t>
      </w:r>
      <w:r w:rsidR="00BD7100" w:rsidRPr="007E017C">
        <w:rPr>
          <w:sz w:val="24"/>
          <w:szCs w:val="24"/>
        </w:rPr>
        <w:t>δυναμικό</w:t>
      </w:r>
      <w:r w:rsidRPr="007E017C">
        <w:rPr>
          <w:sz w:val="24"/>
          <w:szCs w:val="24"/>
        </w:rPr>
        <w:t xml:space="preserve"> </w:t>
      </w:r>
      <w:r w:rsidR="00EB2801">
        <w:rPr>
          <w:sz w:val="24"/>
          <w:szCs w:val="24"/>
        </w:rPr>
        <w:t>ισορροπίας του καλίου;</w:t>
      </w:r>
    </w:p>
    <w:p w14:paraId="25F8AC70" w14:textId="5B4438CE" w:rsidR="00BE3344" w:rsidRPr="00895F08" w:rsidRDefault="00EB2801" w:rsidP="00895F08">
      <w:pPr>
        <w:pStyle w:val="ListParagraph"/>
        <w:widowControl/>
        <w:numPr>
          <w:ilvl w:val="0"/>
          <w:numId w:val="1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proofErr w:type="spellStart"/>
      <w:r>
        <w:rPr>
          <w:sz w:val="24"/>
          <w:szCs w:val="24"/>
        </w:rPr>
        <w:t>εξωκυττάρια</w:t>
      </w:r>
      <w:proofErr w:type="spellEnd"/>
      <w:r>
        <w:rPr>
          <w:sz w:val="24"/>
          <w:szCs w:val="24"/>
        </w:rPr>
        <w:t xml:space="preserve"> συγκέντρωση του νατρίου ή του καλίου επηρεάζει περισσότερο το δυναμικό ηρεμίας της μεμβράνης;</w:t>
      </w:r>
    </w:p>
    <w:p w14:paraId="23A46563" w14:textId="1AB95E70" w:rsidR="00B85073" w:rsidRPr="007E017C" w:rsidRDefault="008B5575" w:rsidP="00046D7E">
      <w:pPr>
        <w:pStyle w:val="Standard"/>
        <w:spacing w:line="360" w:lineRule="auto"/>
        <w:jc w:val="both"/>
        <w:rPr>
          <w:b/>
          <w:sz w:val="24"/>
          <w:szCs w:val="24"/>
        </w:rPr>
      </w:pPr>
      <w:r w:rsidRPr="007E017C">
        <w:rPr>
          <w:b/>
          <w:sz w:val="24"/>
          <w:szCs w:val="24"/>
        </w:rPr>
        <w:t>Άσκηση 2 – Η επίδραση των διαύλων διαρροής</w:t>
      </w:r>
      <w:r w:rsidR="00FC2C4B">
        <w:rPr>
          <w:b/>
          <w:sz w:val="24"/>
          <w:szCs w:val="24"/>
        </w:rPr>
        <w:t xml:space="preserve">, καθώς και των </w:t>
      </w:r>
      <w:proofErr w:type="spellStart"/>
      <w:r w:rsidR="00FC2C4B">
        <w:rPr>
          <w:b/>
          <w:sz w:val="24"/>
          <w:szCs w:val="24"/>
        </w:rPr>
        <w:t>τασοελεγχόμενων</w:t>
      </w:r>
      <w:proofErr w:type="spellEnd"/>
      <w:r w:rsidR="00FC2C4B">
        <w:rPr>
          <w:b/>
          <w:sz w:val="24"/>
          <w:szCs w:val="24"/>
        </w:rPr>
        <w:t xml:space="preserve"> διαύλων νατρίου και καλίου,</w:t>
      </w:r>
      <w:r w:rsidRPr="007E017C">
        <w:rPr>
          <w:b/>
          <w:sz w:val="24"/>
          <w:szCs w:val="24"/>
        </w:rPr>
        <w:t xml:space="preserve"> στην </w:t>
      </w:r>
      <w:r w:rsidR="00FC2C4B">
        <w:rPr>
          <w:b/>
          <w:sz w:val="24"/>
          <w:szCs w:val="24"/>
        </w:rPr>
        <w:t xml:space="preserve">αλλαγή του δυναμικού της μεμβράνης μετά από ερέθισμα </w:t>
      </w:r>
      <w:r w:rsidRPr="007E017C">
        <w:rPr>
          <w:b/>
          <w:sz w:val="24"/>
          <w:szCs w:val="24"/>
        </w:rPr>
        <w:t>και στη διεγερσιμότητα τ</w:t>
      </w:r>
      <w:r w:rsidR="00DB5FFB">
        <w:rPr>
          <w:b/>
          <w:sz w:val="24"/>
          <w:szCs w:val="24"/>
        </w:rPr>
        <w:t>ου</w:t>
      </w:r>
      <w:r w:rsidRPr="007E017C">
        <w:rPr>
          <w:b/>
          <w:sz w:val="24"/>
          <w:szCs w:val="24"/>
        </w:rPr>
        <w:t xml:space="preserve"> νευρών</w:t>
      </w:r>
      <w:r w:rsidR="00DB5FFB">
        <w:rPr>
          <w:b/>
          <w:sz w:val="24"/>
          <w:szCs w:val="24"/>
        </w:rPr>
        <w:t>α</w:t>
      </w:r>
      <w:r w:rsidRPr="007E017C">
        <w:rPr>
          <w:b/>
          <w:sz w:val="24"/>
          <w:szCs w:val="24"/>
        </w:rPr>
        <w:t xml:space="preserve"> </w:t>
      </w:r>
    </w:p>
    <w:p w14:paraId="0EE85987" w14:textId="7BE75880" w:rsidR="008B5575" w:rsidRPr="007E017C" w:rsidRDefault="008B5575" w:rsidP="00046D7E">
      <w:pPr>
        <w:pStyle w:val="Standard"/>
        <w:spacing w:line="360" w:lineRule="auto"/>
        <w:jc w:val="both"/>
        <w:rPr>
          <w:b/>
          <w:sz w:val="24"/>
          <w:szCs w:val="24"/>
        </w:rPr>
      </w:pPr>
    </w:p>
    <w:p w14:paraId="2045DC6F" w14:textId="01471005" w:rsidR="006E6CED" w:rsidRPr="009F0C7D" w:rsidRDefault="006E6CED" w:rsidP="006E6CED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Για να κάνετε την άσκηση</w:t>
      </w:r>
      <w:r w:rsidR="00345D90">
        <w:rPr>
          <w:b/>
          <w:sz w:val="24"/>
          <w:szCs w:val="24"/>
        </w:rPr>
        <w:t xml:space="preserve">, συνδεθείτε στο </w:t>
      </w:r>
      <w:hyperlink r:id="rId5" w:history="1">
        <w:r w:rsidR="00345D90" w:rsidRPr="00A45725">
          <w:rPr>
            <w:rStyle w:val="Hyperlink"/>
            <w:sz w:val="24"/>
            <w:szCs w:val="24"/>
            <w:lang w:val="en-US"/>
          </w:rPr>
          <w:t>https</w:t>
        </w:r>
        <w:r w:rsidR="00345D90" w:rsidRPr="00A45725">
          <w:rPr>
            <w:rStyle w:val="Hyperlink"/>
            <w:sz w:val="24"/>
            <w:szCs w:val="24"/>
          </w:rPr>
          <w:t>://</w:t>
        </w:r>
        <w:r w:rsidR="00345D90" w:rsidRPr="00A45725">
          <w:rPr>
            <w:rStyle w:val="Hyperlink"/>
            <w:sz w:val="24"/>
            <w:szCs w:val="24"/>
            <w:lang w:val="en-US"/>
          </w:rPr>
          <w:t>colab</w:t>
        </w:r>
        <w:r w:rsidR="00345D90" w:rsidRPr="00A45725">
          <w:rPr>
            <w:rStyle w:val="Hyperlink"/>
            <w:sz w:val="24"/>
            <w:szCs w:val="24"/>
          </w:rPr>
          <w:t>.</w:t>
        </w:r>
        <w:r w:rsidR="00345D90" w:rsidRPr="00A45725">
          <w:rPr>
            <w:rStyle w:val="Hyperlink"/>
            <w:sz w:val="24"/>
            <w:szCs w:val="24"/>
            <w:lang w:val="en-US"/>
          </w:rPr>
          <w:t>research</w:t>
        </w:r>
        <w:r w:rsidR="00345D90" w:rsidRPr="00A45725">
          <w:rPr>
            <w:rStyle w:val="Hyperlink"/>
            <w:sz w:val="24"/>
            <w:szCs w:val="24"/>
          </w:rPr>
          <w:t>.</w:t>
        </w:r>
        <w:r w:rsidR="00345D90" w:rsidRPr="00A45725">
          <w:rPr>
            <w:rStyle w:val="Hyperlink"/>
            <w:sz w:val="24"/>
            <w:szCs w:val="24"/>
            <w:lang w:val="en-US"/>
          </w:rPr>
          <w:t>google</w:t>
        </w:r>
        <w:r w:rsidR="00345D90" w:rsidRPr="00A45725">
          <w:rPr>
            <w:rStyle w:val="Hyperlink"/>
            <w:sz w:val="24"/>
            <w:szCs w:val="24"/>
          </w:rPr>
          <w:t>.</w:t>
        </w:r>
        <w:r w:rsidR="00345D90" w:rsidRPr="00A45725">
          <w:rPr>
            <w:rStyle w:val="Hyperlink"/>
            <w:sz w:val="24"/>
            <w:szCs w:val="24"/>
            <w:lang w:val="en-US"/>
          </w:rPr>
          <w:t>com</w:t>
        </w:r>
        <w:r w:rsidR="00345D90" w:rsidRPr="00A45725">
          <w:rPr>
            <w:rStyle w:val="Hyperlink"/>
            <w:sz w:val="24"/>
            <w:szCs w:val="24"/>
          </w:rPr>
          <w:t>/</w:t>
        </w:r>
      </w:hyperlink>
      <w:r w:rsidR="00345D90">
        <w:rPr>
          <w:sz w:val="24"/>
          <w:szCs w:val="24"/>
        </w:rPr>
        <w:t xml:space="preserve"> και ανοίξτε το αρχείο </w:t>
      </w:r>
      <w:r w:rsidR="009F0C7D" w:rsidRPr="008341D2">
        <w:rPr>
          <w:sz w:val="24"/>
          <w:szCs w:val="24"/>
        </w:rPr>
        <w:t>erg6-askisi2.ipynb</w:t>
      </w:r>
    </w:p>
    <w:p w14:paraId="7DCA9FC7" w14:textId="68EEA5C0" w:rsidR="008B5575" w:rsidRDefault="008B5575" w:rsidP="00046D7E">
      <w:pPr>
        <w:pStyle w:val="Standard"/>
        <w:spacing w:line="360" w:lineRule="auto"/>
        <w:jc w:val="both"/>
        <w:rPr>
          <w:b/>
          <w:sz w:val="24"/>
          <w:szCs w:val="24"/>
        </w:rPr>
      </w:pPr>
    </w:p>
    <w:p w14:paraId="2659A14D" w14:textId="73E61E0E" w:rsidR="00385341" w:rsidRDefault="00385341" w:rsidP="00046D7E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385341">
        <w:rPr>
          <w:bCs/>
          <w:sz w:val="24"/>
          <w:szCs w:val="24"/>
        </w:rPr>
        <w:t xml:space="preserve">1) Πώς αλλάζει το δυναμικό της μεμβράνης </w:t>
      </w:r>
      <w:r>
        <w:rPr>
          <w:bCs/>
          <w:sz w:val="24"/>
          <w:szCs w:val="24"/>
        </w:rPr>
        <w:t>όταν ένας νευρώνας δέχεται αρνητικά ρεύματα αυξανόμενου μεγέθους;</w:t>
      </w:r>
    </w:p>
    <w:tbl>
      <w:tblPr>
        <w:tblW w:w="4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37"/>
        <w:gridCol w:w="1903"/>
      </w:tblGrid>
      <w:tr w:rsidR="007B48EC" w14:paraId="4927AF21" w14:textId="77777777" w:rsidTr="0066071F">
        <w:trPr>
          <w:trHeight w:val="320"/>
        </w:trPr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54DBA624" w14:textId="5F013720" w:rsidR="007B48EC" w:rsidRPr="007B48EC" w:rsidRDefault="007B48EC">
            <w:pPr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</w:rPr>
              <w:t>Ρεύμα (αρνη</w:t>
            </w:r>
            <w:r>
              <w:rPr>
                <w:rFonts w:ascii="Calibri" w:hAnsi="Calibri" w:cs="Calibri"/>
                <w:color w:val="000000"/>
                <w:lang w:val="el-GR"/>
              </w:rPr>
              <w:t>τ</w:t>
            </w:r>
            <w:r>
              <w:rPr>
                <w:rFonts w:ascii="Calibri" w:hAnsi="Calibri" w:cs="Calibri"/>
                <w:color w:val="000000"/>
              </w:rPr>
              <w:t>ικό)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)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9818714" w14:textId="77777777" w:rsidR="007B48EC" w:rsidRDefault="007B48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Αλλαγή δυναμικού</w:t>
            </w:r>
          </w:p>
        </w:tc>
      </w:tr>
      <w:tr w:rsidR="007B48EC" w14:paraId="18A948C6" w14:textId="77777777" w:rsidTr="0066071F">
        <w:trPr>
          <w:trHeight w:val="320"/>
        </w:trPr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12766CEB" w14:textId="77777777" w:rsidR="007B48EC" w:rsidRDefault="007B48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-0,02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43D245F" w14:textId="6AA407C0" w:rsidR="007B48EC" w:rsidRDefault="007B48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B48EC" w14:paraId="55C691AE" w14:textId="77777777" w:rsidTr="0066071F">
        <w:trPr>
          <w:trHeight w:val="320"/>
        </w:trPr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31599BDD" w14:textId="77777777" w:rsidR="007B48EC" w:rsidRDefault="007B48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-0,04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5BD2F25" w14:textId="6186FA9A" w:rsidR="007B48EC" w:rsidRDefault="007B48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B48EC" w14:paraId="726C09BE" w14:textId="77777777" w:rsidTr="0066071F">
        <w:trPr>
          <w:trHeight w:val="320"/>
        </w:trPr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3DCFA7FD" w14:textId="77777777" w:rsidR="007B48EC" w:rsidRDefault="007B48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-0,06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26C5E57" w14:textId="41CED74D" w:rsidR="007B48EC" w:rsidRDefault="007B48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B48EC" w14:paraId="27D77B62" w14:textId="77777777" w:rsidTr="0066071F">
        <w:trPr>
          <w:trHeight w:val="320"/>
        </w:trPr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35BEAB92" w14:textId="77777777" w:rsidR="007B48EC" w:rsidRDefault="007B48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EC8C917" w14:textId="376C84E6" w:rsidR="007B48EC" w:rsidRDefault="007B48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B48EC" w14:paraId="36681784" w14:textId="77777777" w:rsidTr="0066071F">
        <w:trPr>
          <w:trHeight w:val="320"/>
        </w:trPr>
        <w:tc>
          <w:tcPr>
            <w:tcW w:w="2537" w:type="dxa"/>
            <w:shd w:val="clear" w:color="auto" w:fill="auto"/>
            <w:noWrap/>
            <w:vAlign w:val="bottom"/>
            <w:hideMark/>
          </w:tcPr>
          <w:p w14:paraId="10A5142E" w14:textId="6E7C1BC7" w:rsidR="007B48EC" w:rsidRDefault="007B48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1724A0">
              <w:rPr>
                <w:rFonts w:ascii="Calibri" w:hAnsi="Calibri" w:cs="Calibri"/>
                <w:color w:val="000000"/>
                <w:lang w:val="en-US"/>
              </w:rPr>
              <w:t>0,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803D751" w14:textId="539EB0F7" w:rsidR="007B48EC" w:rsidRPr="00241667" w:rsidRDefault="007B48EC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4B51A92A" w14:textId="77777777" w:rsidR="00E236E1" w:rsidRDefault="00E236E1" w:rsidP="00E236E1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729F1151" w14:textId="1477FB6D" w:rsidR="00E236E1" w:rsidRDefault="00E236E1" w:rsidP="00E236E1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DE1515">
        <w:rPr>
          <w:bCs/>
          <w:sz w:val="24"/>
          <w:szCs w:val="24"/>
        </w:rPr>
        <w:t>2</w:t>
      </w:r>
      <w:r w:rsidRPr="00385341">
        <w:rPr>
          <w:bCs/>
          <w:sz w:val="24"/>
          <w:szCs w:val="24"/>
        </w:rPr>
        <w:t xml:space="preserve">) Πώς αλλάζει το δυναμικό της μεμβράνης </w:t>
      </w:r>
      <w:r>
        <w:rPr>
          <w:bCs/>
          <w:sz w:val="24"/>
          <w:szCs w:val="24"/>
        </w:rPr>
        <w:t>όταν ένας νευρώνας δέχεται αρνητικά ρεύματα αυξανόμενου μεγέθους</w:t>
      </w:r>
      <w:r w:rsidRPr="00DE15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αλλά έχουν τροποποιηθεί ανάλογα τα ρεύματα των διαύλων διαρροής, των </w:t>
      </w:r>
      <w:proofErr w:type="spellStart"/>
      <w:r>
        <w:rPr>
          <w:bCs/>
          <w:sz w:val="24"/>
          <w:szCs w:val="24"/>
        </w:rPr>
        <w:t>τασοελεγχόμενων</w:t>
      </w:r>
      <w:proofErr w:type="spellEnd"/>
      <w:r>
        <w:rPr>
          <w:bCs/>
          <w:sz w:val="24"/>
          <w:szCs w:val="24"/>
        </w:rPr>
        <w:t xml:space="preserve"> διαύλων νατρίου και των </w:t>
      </w:r>
      <w:proofErr w:type="spellStart"/>
      <w:r>
        <w:rPr>
          <w:bCs/>
          <w:sz w:val="24"/>
          <w:szCs w:val="24"/>
        </w:rPr>
        <w:t>τασοελεγχομένων</w:t>
      </w:r>
      <w:proofErr w:type="spellEnd"/>
      <w:r>
        <w:rPr>
          <w:bCs/>
          <w:sz w:val="24"/>
          <w:szCs w:val="24"/>
        </w:rPr>
        <w:t xml:space="preserve"> διαύλων καλίου;</w:t>
      </w:r>
    </w:p>
    <w:tbl>
      <w:tblPr>
        <w:tblW w:w="89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1404"/>
        <w:gridCol w:w="1312"/>
        <w:gridCol w:w="1790"/>
        <w:gridCol w:w="1970"/>
      </w:tblGrid>
      <w:tr w:rsidR="00E236E1" w14:paraId="163EC0F2" w14:textId="4360ADA8" w:rsidTr="001543F9">
        <w:trPr>
          <w:trHeight w:val="320"/>
        </w:trPr>
        <w:tc>
          <w:tcPr>
            <w:tcW w:w="2514" w:type="dxa"/>
            <w:shd w:val="clear" w:color="auto" w:fill="auto"/>
            <w:noWrap/>
            <w:vAlign w:val="bottom"/>
          </w:tcPr>
          <w:p w14:paraId="4C6ADD57" w14:textId="77777777" w:rsidR="00E236E1" w:rsidRDefault="00E236E1" w:rsidP="00C874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</w:tcPr>
          <w:p w14:paraId="3ABA403A" w14:textId="26A7D749" w:rsidR="00E236E1" w:rsidRPr="00241667" w:rsidRDefault="00E236E1" w:rsidP="00C87402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αύξηση δίαυλων διαρροής</w:t>
            </w:r>
            <w:r w:rsidR="00241667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="00241667">
              <w:rPr>
                <w:rFonts w:ascii="Calibri" w:hAnsi="Calibri" w:cs="Calibri"/>
                <w:color w:val="000000"/>
                <w:lang w:val="en-US"/>
              </w:rPr>
              <w:t>gleak</w:t>
            </w:r>
            <w:proofErr w:type="spellEnd"/>
            <w:r w:rsidR="00241667">
              <w:rPr>
                <w:rFonts w:ascii="Calibri" w:hAnsi="Calibri" w:cs="Calibri"/>
                <w:color w:val="000000"/>
                <w:lang w:val="en-US"/>
              </w:rPr>
              <w:t>=0.00045)</w:t>
            </w:r>
          </w:p>
        </w:tc>
        <w:tc>
          <w:tcPr>
            <w:tcW w:w="1312" w:type="dxa"/>
          </w:tcPr>
          <w:p w14:paraId="6A2C9DBA" w14:textId="5BD21F3C" w:rsidR="00E236E1" w:rsidRPr="00241667" w:rsidRDefault="00E236E1" w:rsidP="00C87402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μείωση διαύλων διαρροής</w:t>
            </w:r>
            <w:r w:rsidR="00241667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241667">
              <w:rPr>
                <w:rFonts w:ascii="Calibri" w:hAnsi="Calibri" w:cs="Calibri"/>
                <w:color w:val="000000"/>
                <w:lang w:val="en-US"/>
              </w:rPr>
              <w:t>(</w:t>
            </w:r>
            <w:proofErr w:type="spellStart"/>
            <w:r w:rsidR="00241667">
              <w:rPr>
                <w:rFonts w:ascii="Calibri" w:hAnsi="Calibri" w:cs="Calibri"/>
                <w:color w:val="000000"/>
                <w:lang w:val="en-US"/>
              </w:rPr>
              <w:t>gleak</w:t>
            </w:r>
            <w:proofErr w:type="spellEnd"/>
            <w:r w:rsidR="00241667">
              <w:rPr>
                <w:rFonts w:ascii="Calibri" w:hAnsi="Calibri" w:cs="Calibri"/>
                <w:color w:val="000000"/>
                <w:lang w:val="en-US"/>
              </w:rPr>
              <w:t>=0.000</w:t>
            </w:r>
            <w:r w:rsidR="00241667">
              <w:rPr>
                <w:rFonts w:ascii="Calibri" w:hAnsi="Calibri" w:cs="Calibri"/>
                <w:color w:val="000000"/>
                <w:lang w:val="en-US"/>
              </w:rPr>
              <w:t>2</w:t>
            </w:r>
            <w:r w:rsidR="00241667">
              <w:rPr>
                <w:rFonts w:ascii="Calibri" w:hAnsi="Calibri" w:cs="Calibri"/>
                <w:color w:val="000000"/>
                <w:lang w:val="en-US"/>
              </w:rPr>
              <w:t>5)</w:t>
            </w:r>
          </w:p>
        </w:tc>
        <w:tc>
          <w:tcPr>
            <w:tcW w:w="1790" w:type="dxa"/>
          </w:tcPr>
          <w:p w14:paraId="71B2AF49" w14:textId="1FCA0287" w:rsidR="00E236E1" w:rsidRPr="00241667" w:rsidRDefault="00E236E1" w:rsidP="00C87402">
            <w:pPr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 xml:space="preserve">μείωση </w:t>
            </w:r>
            <w:proofErr w:type="spellStart"/>
            <w:r>
              <w:rPr>
                <w:rFonts w:ascii="Calibri" w:hAnsi="Calibri" w:cs="Calibri"/>
                <w:color w:val="000000"/>
                <w:lang w:val="el-GR"/>
              </w:rPr>
              <w:t>τασοελεγχόμενων</w:t>
            </w:r>
            <w:proofErr w:type="spellEnd"/>
            <w:r>
              <w:rPr>
                <w:rFonts w:ascii="Calibri" w:hAnsi="Calibri" w:cs="Calibri"/>
                <w:color w:val="000000"/>
                <w:lang w:val="el-GR"/>
              </w:rPr>
              <w:t xml:space="preserve"> διαύλων νατρίου </w:t>
            </w:r>
            <w:r w:rsidR="00241667" w:rsidRPr="00241667">
              <w:rPr>
                <w:rFonts w:ascii="Calibri" w:hAnsi="Calibri" w:cs="Calibri"/>
                <w:color w:val="000000"/>
                <w:lang w:val="el-GR"/>
              </w:rPr>
              <w:t>(</w:t>
            </w:r>
            <w:proofErr w:type="spellStart"/>
            <w:r w:rsidR="00241667">
              <w:rPr>
                <w:rFonts w:ascii="Calibri" w:hAnsi="Calibri" w:cs="Calibri"/>
                <w:color w:val="000000"/>
                <w:lang w:val="en-US"/>
              </w:rPr>
              <w:t>gna</w:t>
            </w:r>
            <w:proofErr w:type="spellEnd"/>
            <w:r w:rsidR="00241667" w:rsidRPr="00241667">
              <w:rPr>
                <w:rFonts w:ascii="Calibri" w:hAnsi="Calibri" w:cs="Calibri"/>
                <w:color w:val="000000"/>
                <w:lang w:val="el-GR"/>
              </w:rPr>
              <w:t>=0.06)</w:t>
            </w:r>
          </w:p>
        </w:tc>
        <w:tc>
          <w:tcPr>
            <w:tcW w:w="1970" w:type="dxa"/>
          </w:tcPr>
          <w:p w14:paraId="6EF2E4BD" w14:textId="3AFE4BF2" w:rsidR="00E236E1" w:rsidRPr="00241667" w:rsidRDefault="00E236E1" w:rsidP="00C87402">
            <w:pPr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 xml:space="preserve">μείωση </w:t>
            </w:r>
            <w:proofErr w:type="spellStart"/>
            <w:r>
              <w:rPr>
                <w:rFonts w:ascii="Calibri" w:hAnsi="Calibri" w:cs="Calibri"/>
                <w:color w:val="000000"/>
                <w:lang w:val="el-GR"/>
              </w:rPr>
              <w:t>τασοελεγχόμενων</w:t>
            </w:r>
            <w:proofErr w:type="spellEnd"/>
            <w:r>
              <w:rPr>
                <w:rFonts w:ascii="Calibri" w:hAnsi="Calibri" w:cs="Calibri"/>
                <w:color w:val="000000"/>
                <w:lang w:val="el-GR"/>
              </w:rPr>
              <w:t xml:space="preserve"> διαύλων καλίου</w:t>
            </w:r>
            <w:r w:rsidR="00241667" w:rsidRPr="00241667">
              <w:rPr>
                <w:rFonts w:ascii="Calibri" w:hAnsi="Calibri" w:cs="Calibri"/>
                <w:color w:val="000000"/>
                <w:lang w:val="el-GR"/>
              </w:rPr>
              <w:t xml:space="preserve"> (</w:t>
            </w:r>
            <w:proofErr w:type="spellStart"/>
            <w:r w:rsidR="00241667">
              <w:rPr>
                <w:rFonts w:ascii="Calibri" w:hAnsi="Calibri" w:cs="Calibri"/>
                <w:color w:val="000000"/>
                <w:lang w:val="en-US"/>
              </w:rPr>
              <w:t>gk</w:t>
            </w:r>
            <w:proofErr w:type="spellEnd"/>
            <w:r w:rsidR="00241667" w:rsidRPr="00241667">
              <w:rPr>
                <w:rFonts w:ascii="Calibri" w:hAnsi="Calibri" w:cs="Calibri"/>
                <w:color w:val="000000"/>
                <w:lang w:val="el-GR"/>
              </w:rPr>
              <w:t>=0.018)</w:t>
            </w:r>
          </w:p>
        </w:tc>
      </w:tr>
      <w:tr w:rsidR="00E236E1" w14:paraId="0B264B84" w14:textId="773E1746" w:rsidTr="001543F9">
        <w:trPr>
          <w:trHeight w:val="320"/>
        </w:trPr>
        <w:tc>
          <w:tcPr>
            <w:tcW w:w="2514" w:type="dxa"/>
            <w:shd w:val="clear" w:color="auto" w:fill="auto"/>
            <w:noWrap/>
            <w:vAlign w:val="bottom"/>
            <w:hideMark/>
          </w:tcPr>
          <w:p w14:paraId="7EF0E951" w14:textId="77777777" w:rsidR="00E236E1" w:rsidRPr="007B48EC" w:rsidRDefault="00E236E1" w:rsidP="00C87402">
            <w:pPr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</w:rPr>
              <w:t>Ρεύμα (αρνη</w:t>
            </w:r>
            <w:r>
              <w:rPr>
                <w:rFonts w:ascii="Calibri" w:hAnsi="Calibri" w:cs="Calibri"/>
                <w:color w:val="000000"/>
                <w:lang w:val="el-GR"/>
              </w:rPr>
              <w:t>τ</w:t>
            </w:r>
            <w:r>
              <w:rPr>
                <w:rFonts w:ascii="Calibri" w:hAnsi="Calibri" w:cs="Calibri"/>
                <w:color w:val="000000"/>
              </w:rPr>
              <w:t>ικό)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)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7B33BEA9" w14:textId="77777777" w:rsidR="00E236E1" w:rsidRDefault="00E236E1" w:rsidP="00C874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Αλλαγή δυναμικού</w:t>
            </w:r>
          </w:p>
        </w:tc>
        <w:tc>
          <w:tcPr>
            <w:tcW w:w="1312" w:type="dxa"/>
          </w:tcPr>
          <w:p w14:paraId="769B4D4D" w14:textId="77777777" w:rsidR="00E236E1" w:rsidRDefault="00E236E1" w:rsidP="00C874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0" w:type="dxa"/>
          </w:tcPr>
          <w:p w14:paraId="3F4A20CA" w14:textId="77777777" w:rsidR="00E236E1" w:rsidRPr="00241667" w:rsidRDefault="00E236E1" w:rsidP="00C87402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970" w:type="dxa"/>
          </w:tcPr>
          <w:p w14:paraId="240FD8EF" w14:textId="77777777" w:rsidR="00E236E1" w:rsidRDefault="00E236E1" w:rsidP="00C8740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36E1" w14:paraId="0B43075D" w14:textId="0F021016" w:rsidTr="001543F9">
        <w:trPr>
          <w:trHeight w:val="320"/>
        </w:trPr>
        <w:tc>
          <w:tcPr>
            <w:tcW w:w="2514" w:type="dxa"/>
            <w:shd w:val="clear" w:color="auto" w:fill="auto"/>
            <w:noWrap/>
            <w:vAlign w:val="bottom"/>
            <w:hideMark/>
          </w:tcPr>
          <w:p w14:paraId="572BACA4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418AF76E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2" w:type="dxa"/>
          </w:tcPr>
          <w:p w14:paraId="5211495E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0" w:type="dxa"/>
          </w:tcPr>
          <w:p w14:paraId="293E55A0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0" w:type="dxa"/>
          </w:tcPr>
          <w:p w14:paraId="5D2FC580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236E1" w14:paraId="49043E0E" w14:textId="0CB8B178" w:rsidTr="001543F9">
        <w:trPr>
          <w:trHeight w:val="320"/>
        </w:trPr>
        <w:tc>
          <w:tcPr>
            <w:tcW w:w="2514" w:type="dxa"/>
            <w:shd w:val="clear" w:color="auto" w:fill="auto"/>
            <w:noWrap/>
            <w:vAlign w:val="bottom"/>
            <w:hideMark/>
          </w:tcPr>
          <w:p w14:paraId="257E2A71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-0,04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742EF89B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2" w:type="dxa"/>
          </w:tcPr>
          <w:p w14:paraId="1DF273D1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0" w:type="dxa"/>
          </w:tcPr>
          <w:p w14:paraId="3D829CD7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0" w:type="dxa"/>
          </w:tcPr>
          <w:p w14:paraId="247D06A3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236E1" w14:paraId="21DD7C96" w14:textId="6B745DF9" w:rsidTr="001543F9">
        <w:trPr>
          <w:trHeight w:val="320"/>
        </w:trPr>
        <w:tc>
          <w:tcPr>
            <w:tcW w:w="2514" w:type="dxa"/>
            <w:shd w:val="clear" w:color="auto" w:fill="auto"/>
            <w:noWrap/>
            <w:vAlign w:val="bottom"/>
            <w:hideMark/>
          </w:tcPr>
          <w:p w14:paraId="42CD80B8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60CFE051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2" w:type="dxa"/>
          </w:tcPr>
          <w:p w14:paraId="53578EDD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0" w:type="dxa"/>
          </w:tcPr>
          <w:p w14:paraId="447BE4DE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0" w:type="dxa"/>
          </w:tcPr>
          <w:p w14:paraId="6A461397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236E1" w14:paraId="620422AF" w14:textId="1D6A64B2" w:rsidTr="001543F9">
        <w:trPr>
          <w:trHeight w:val="320"/>
        </w:trPr>
        <w:tc>
          <w:tcPr>
            <w:tcW w:w="2514" w:type="dxa"/>
            <w:shd w:val="clear" w:color="auto" w:fill="auto"/>
            <w:noWrap/>
            <w:vAlign w:val="bottom"/>
            <w:hideMark/>
          </w:tcPr>
          <w:p w14:paraId="49015551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5332E190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2" w:type="dxa"/>
          </w:tcPr>
          <w:p w14:paraId="542627EA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0" w:type="dxa"/>
          </w:tcPr>
          <w:p w14:paraId="2AB2454F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0" w:type="dxa"/>
          </w:tcPr>
          <w:p w14:paraId="15A5B62A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236E1" w14:paraId="726E2472" w14:textId="114A3743" w:rsidTr="001543F9">
        <w:trPr>
          <w:trHeight w:val="320"/>
        </w:trPr>
        <w:tc>
          <w:tcPr>
            <w:tcW w:w="2514" w:type="dxa"/>
            <w:shd w:val="clear" w:color="auto" w:fill="auto"/>
            <w:noWrap/>
            <w:vAlign w:val="bottom"/>
            <w:hideMark/>
          </w:tcPr>
          <w:p w14:paraId="53B37774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26FA7BDA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2" w:type="dxa"/>
          </w:tcPr>
          <w:p w14:paraId="71249411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0" w:type="dxa"/>
          </w:tcPr>
          <w:p w14:paraId="3A0329BD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0" w:type="dxa"/>
          </w:tcPr>
          <w:p w14:paraId="6736BC2F" w14:textId="77777777" w:rsidR="00E236E1" w:rsidRDefault="00E236E1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1E7E293B" w14:textId="77777777" w:rsidR="007B48EC" w:rsidRPr="00385341" w:rsidRDefault="007B48EC" w:rsidP="00046D7E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631BE3E8" w14:textId="37DB149F" w:rsidR="00385341" w:rsidRDefault="00177425" w:rsidP="00046D7E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BB4069">
        <w:rPr>
          <w:bCs/>
          <w:sz w:val="24"/>
          <w:szCs w:val="24"/>
        </w:rPr>
        <w:t>3) Πώς επηρεάζουν οι διαφορετικοί ιοντικοί δίαυλοι την αλλαγή του δυναμικού της μεμβράνης σε είσοδο ερεθισμάτων;</w:t>
      </w:r>
    </w:p>
    <w:p w14:paraId="6AB2ED54" w14:textId="6D4799FC" w:rsidR="00BB4069" w:rsidRDefault="00BB4069" w:rsidP="00046D7E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6EEB5D04" w14:textId="565C680D" w:rsidR="00BB4069" w:rsidRDefault="00BB4069" w:rsidP="00046D7E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3EC4FF4F" w14:textId="192AD058" w:rsidR="008C727A" w:rsidRDefault="008C727A" w:rsidP="008C727A">
      <w:pPr>
        <w:pStyle w:val="Standard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385341">
        <w:rPr>
          <w:bCs/>
          <w:sz w:val="24"/>
          <w:szCs w:val="24"/>
        </w:rPr>
        <w:t xml:space="preserve">) Πώς αλλάζει </w:t>
      </w:r>
      <w:r>
        <w:rPr>
          <w:bCs/>
          <w:sz w:val="24"/>
          <w:szCs w:val="24"/>
        </w:rPr>
        <w:t>τη διεγερσιμότητα του νευρώνα (αριθμός δυναμικών ενέργειας που παράγονται)</w:t>
      </w:r>
      <w:r w:rsidRPr="0038534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όταν ένας νευρώνας </w:t>
      </w:r>
      <w:r w:rsidR="00A82A0A">
        <w:rPr>
          <w:bCs/>
          <w:sz w:val="24"/>
          <w:szCs w:val="24"/>
        </w:rPr>
        <w:t xml:space="preserve">δέχεται θετικά </w:t>
      </w:r>
      <w:r>
        <w:rPr>
          <w:bCs/>
          <w:sz w:val="24"/>
          <w:szCs w:val="24"/>
        </w:rPr>
        <w:t>ρεύματα αυξανόμενου μεγέθους</w:t>
      </w:r>
      <w:r w:rsidRPr="00DE15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αλλά έχουν τροποποιηθεί ανάλογα τα ρεύματα των διαύλων διαρροής, των </w:t>
      </w:r>
      <w:proofErr w:type="spellStart"/>
      <w:r>
        <w:rPr>
          <w:bCs/>
          <w:sz w:val="24"/>
          <w:szCs w:val="24"/>
        </w:rPr>
        <w:t>τασοελεγχόμενων</w:t>
      </w:r>
      <w:proofErr w:type="spellEnd"/>
      <w:r>
        <w:rPr>
          <w:bCs/>
          <w:sz w:val="24"/>
          <w:szCs w:val="24"/>
        </w:rPr>
        <w:t xml:space="preserve"> διαύλων νατρίου και των </w:t>
      </w:r>
      <w:proofErr w:type="spellStart"/>
      <w:r>
        <w:rPr>
          <w:bCs/>
          <w:sz w:val="24"/>
          <w:szCs w:val="24"/>
        </w:rPr>
        <w:t>τασοελεγχομένων</w:t>
      </w:r>
      <w:proofErr w:type="spellEnd"/>
      <w:r>
        <w:rPr>
          <w:bCs/>
          <w:sz w:val="24"/>
          <w:szCs w:val="24"/>
        </w:rPr>
        <w:t xml:space="preserve"> διαύλων καλίου;</w:t>
      </w:r>
    </w:p>
    <w:p w14:paraId="1A8790E5" w14:textId="6414FC2B" w:rsidR="00220466" w:rsidRDefault="00936187" w:rsidP="008C727A">
      <w:pPr>
        <w:pStyle w:val="Standard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Σημ. Όταν δεν υπάρχει δυναμικό ενέργειας γράφετε την αλλαγή στο δυναμικό της μεμβράνης (με δύο δεκαδικά ψηφία). Όταν υπάρχουν δυναμικά ενέργειας, γράφετε τον αριθμό των δυναμικών ενέργειας (ακέραιο αριθμό)</w:t>
      </w:r>
    </w:p>
    <w:tbl>
      <w:tblPr>
        <w:tblW w:w="10113" w:type="dxa"/>
        <w:tblInd w:w="-5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768"/>
        <w:gridCol w:w="1559"/>
        <w:gridCol w:w="1701"/>
        <w:gridCol w:w="1701"/>
        <w:gridCol w:w="1985"/>
      </w:tblGrid>
      <w:tr w:rsidR="00136314" w14:paraId="3E2D2E1F" w14:textId="77777777" w:rsidTr="00BB64FA">
        <w:trPr>
          <w:trHeight w:val="320"/>
        </w:trPr>
        <w:tc>
          <w:tcPr>
            <w:tcW w:w="1399" w:type="dxa"/>
            <w:shd w:val="clear" w:color="auto" w:fill="auto"/>
            <w:noWrap/>
            <w:vAlign w:val="bottom"/>
          </w:tcPr>
          <w:p w14:paraId="54BF5F08" w14:textId="77777777" w:rsidR="00136314" w:rsidRDefault="00136314" w:rsidP="00C874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8" w:type="dxa"/>
          </w:tcPr>
          <w:p w14:paraId="002F3FEB" w14:textId="46486C0A" w:rsidR="00136314" w:rsidRDefault="00136314" w:rsidP="00C87402">
            <w:pPr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‘φυσιολογικός’ νευρώνας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AD9F7B" w14:textId="6864DAEA" w:rsidR="00136314" w:rsidRPr="00E236E1" w:rsidRDefault="00136314" w:rsidP="00C87402">
            <w:pPr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αύξηση δίαυλων διαρροής</w:t>
            </w:r>
          </w:p>
        </w:tc>
        <w:tc>
          <w:tcPr>
            <w:tcW w:w="1701" w:type="dxa"/>
          </w:tcPr>
          <w:p w14:paraId="3BCC08E7" w14:textId="77777777" w:rsidR="00136314" w:rsidRDefault="00136314" w:rsidP="00C874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μείωση διαύλων διαρροής</w:t>
            </w:r>
          </w:p>
        </w:tc>
        <w:tc>
          <w:tcPr>
            <w:tcW w:w="1701" w:type="dxa"/>
          </w:tcPr>
          <w:p w14:paraId="1D7E49E1" w14:textId="617C6098" w:rsidR="00136314" w:rsidRDefault="00136314" w:rsidP="00BB6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 xml:space="preserve">μείωση </w:t>
            </w:r>
            <w:proofErr w:type="spellStart"/>
            <w:r>
              <w:rPr>
                <w:rFonts w:ascii="Calibri" w:hAnsi="Calibri" w:cs="Calibri"/>
                <w:color w:val="000000"/>
                <w:lang w:val="el-GR"/>
              </w:rPr>
              <w:t>τασοελεγχόμενων</w:t>
            </w:r>
            <w:proofErr w:type="spellEnd"/>
            <w:r>
              <w:rPr>
                <w:rFonts w:ascii="Calibri" w:hAnsi="Calibri" w:cs="Calibri"/>
                <w:color w:val="000000"/>
                <w:lang w:val="el-GR"/>
              </w:rPr>
              <w:t xml:space="preserve"> διαύλων νατρίου</w:t>
            </w:r>
          </w:p>
        </w:tc>
        <w:tc>
          <w:tcPr>
            <w:tcW w:w="1985" w:type="dxa"/>
          </w:tcPr>
          <w:p w14:paraId="10E50CEA" w14:textId="77777777" w:rsidR="00136314" w:rsidRDefault="00136314" w:rsidP="00BB64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 xml:space="preserve">μείωση </w:t>
            </w:r>
            <w:proofErr w:type="spellStart"/>
            <w:r>
              <w:rPr>
                <w:rFonts w:ascii="Calibri" w:hAnsi="Calibri" w:cs="Calibri"/>
                <w:color w:val="000000"/>
                <w:lang w:val="el-GR"/>
              </w:rPr>
              <w:t>τασοελεγχόμενων</w:t>
            </w:r>
            <w:proofErr w:type="spellEnd"/>
            <w:r>
              <w:rPr>
                <w:rFonts w:ascii="Calibri" w:hAnsi="Calibri" w:cs="Calibri"/>
                <w:color w:val="000000"/>
                <w:lang w:val="el-GR"/>
              </w:rPr>
              <w:t xml:space="preserve"> διαύλων καλίου</w:t>
            </w:r>
          </w:p>
        </w:tc>
      </w:tr>
      <w:tr w:rsidR="00136314" w14:paraId="19CC9078" w14:textId="77777777" w:rsidTr="00BB64FA">
        <w:trPr>
          <w:trHeight w:val="32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664F2F2E" w14:textId="6D8705E2" w:rsidR="00136314" w:rsidRPr="007B48EC" w:rsidRDefault="00136314" w:rsidP="00C87402">
            <w:pPr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</w:rPr>
              <w:t>Ρεύμα (</w:t>
            </w:r>
            <w:r w:rsidR="002D315B">
              <w:rPr>
                <w:rFonts w:ascii="Calibri" w:hAnsi="Calibri" w:cs="Calibri"/>
                <w:color w:val="000000"/>
                <w:lang w:val="el-GR"/>
              </w:rPr>
              <w:t>θετικό</w:t>
            </w:r>
            <w:r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)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</w:p>
        </w:tc>
        <w:tc>
          <w:tcPr>
            <w:tcW w:w="1768" w:type="dxa"/>
          </w:tcPr>
          <w:p w14:paraId="1EBEFD16" w14:textId="56607DB0" w:rsidR="00136314" w:rsidRDefault="00136314" w:rsidP="00C874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Αλλαγή δυναμικού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ή # </w:t>
            </w:r>
            <w:proofErr w:type="spellStart"/>
            <w:r>
              <w:rPr>
                <w:rFonts w:ascii="Calibri" w:hAnsi="Calibri" w:cs="Calibri"/>
                <w:color w:val="000000"/>
                <w:lang w:val="el-GR"/>
              </w:rPr>
              <w:t>δυν</w:t>
            </w:r>
            <w:proofErr w:type="spellEnd"/>
            <w:r>
              <w:rPr>
                <w:rFonts w:ascii="Calibri" w:hAnsi="Calibri" w:cs="Calibri"/>
                <w:color w:val="000000"/>
                <w:lang w:val="el-GR"/>
              </w:rPr>
              <w:t>. ενέργειας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D1E256" w14:textId="48433C26" w:rsidR="00136314" w:rsidRPr="00136314" w:rsidRDefault="00136314" w:rsidP="00C87402">
            <w:pPr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</w:rPr>
              <w:t>Αλλαγή δυναμικού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ή # </w:t>
            </w:r>
            <w:proofErr w:type="spellStart"/>
            <w:r>
              <w:rPr>
                <w:rFonts w:ascii="Calibri" w:hAnsi="Calibri" w:cs="Calibri"/>
                <w:color w:val="000000"/>
                <w:lang w:val="el-GR"/>
              </w:rPr>
              <w:t>δυν</w:t>
            </w:r>
            <w:proofErr w:type="spellEnd"/>
            <w:r>
              <w:rPr>
                <w:rFonts w:ascii="Calibri" w:hAnsi="Calibri" w:cs="Calibri"/>
                <w:color w:val="000000"/>
                <w:lang w:val="el-GR"/>
              </w:rPr>
              <w:t>. ενέργειας</w:t>
            </w:r>
          </w:p>
        </w:tc>
        <w:tc>
          <w:tcPr>
            <w:tcW w:w="1701" w:type="dxa"/>
          </w:tcPr>
          <w:p w14:paraId="3CE4C2ED" w14:textId="4EC2B8E1" w:rsidR="00136314" w:rsidRDefault="00136314" w:rsidP="00C874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Αλλαγή δυναμικού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ή # </w:t>
            </w:r>
            <w:proofErr w:type="spellStart"/>
            <w:r>
              <w:rPr>
                <w:rFonts w:ascii="Calibri" w:hAnsi="Calibri" w:cs="Calibri"/>
                <w:color w:val="000000"/>
                <w:lang w:val="el-GR"/>
              </w:rPr>
              <w:t>δυν</w:t>
            </w:r>
            <w:proofErr w:type="spellEnd"/>
            <w:r>
              <w:rPr>
                <w:rFonts w:ascii="Calibri" w:hAnsi="Calibri" w:cs="Calibri"/>
                <w:color w:val="000000"/>
                <w:lang w:val="el-GR"/>
              </w:rPr>
              <w:t>. ενέργειας</w:t>
            </w:r>
          </w:p>
        </w:tc>
        <w:tc>
          <w:tcPr>
            <w:tcW w:w="1701" w:type="dxa"/>
          </w:tcPr>
          <w:p w14:paraId="2F16D517" w14:textId="1F3B77D1" w:rsidR="00136314" w:rsidRDefault="00136314" w:rsidP="00C874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Αλλαγή δυναμικού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ή # </w:t>
            </w:r>
            <w:proofErr w:type="spellStart"/>
            <w:r>
              <w:rPr>
                <w:rFonts w:ascii="Calibri" w:hAnsi="Calibri" w:cs="Calibri"/>
                <w:color w:val="000000"/>
                <w:lang w:val="el-GR"/>
              </w:rPr>
              <w:t>δυν</w:t>
            </w:r>
            <w:proofErr w:type="spellEnd"/>
            <w:r>
              <w:rPr>
                <w:rFonts w:ascii="Calibri" w:hAnsi="Calibri" w:cs="Calibri"/>
                <w:color w:val="000000"/>
                <w:lang w:val="el-GR"/>
              </w:rPr>
              <w:t>. ενέργειας</w:t>
            </w:r>
          </w:p>
        </w:tc>
        <w:tc>
          <w:tcPr>
            <w:tcW w:w="1985" w:type="dxa"/>
          </w:tcPr>
          <w:p w14:paraId="19F9A8C7" w14:textId="47704BDE" w:rsidR="00136314" w:rsidRDefault="00136314" w:rsidP="00C874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Αλλαγή δυναμικού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ή # </w:t>
            </w:r>
            <w:proofErr w:type="spellStart"/>
            <w:r>
              <w:rPr>
                <w:rFonts w:ascii="Calibri" w:hAnsi="Calibri" w:cs="Calibri"/>
                <w:color w:val="000000"/>
                <w:lang w:val="el-GR"/>
              </w:rPr>
              <w:t>δυν</w:t>
            </w:r>
            <w:proofErr w:type="spellEnd"/>
            <w:r>
              <w:rPr>
                <w:rFonts w:ascii="Calibri" w:hAnsi="Calibri" w:cs="Calibri"/>
                <w:color w:val="000000"/>
                <w:lang w:val="el-GR"/>
              </w:rPr>
              <w:t>. ενέργειας</w:t>
            </w:r>
          </w:p>
        </w:tc>
      </w:tr>
      <w:tr w:rsidR="00136314" w14:paraId="5640F631" w14:textId="77777777" w:rsidTr="00BB64FA">
        <w:trPr>
          <w:trHeight w:val="32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7CF0B95" w14:textId="59EFBC5A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768" w:type="dxa"/>
          </w:tcPr>
          <w:p w14:paraId="3B37CAB8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FC319D" w14:textId="2000011F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32082FC0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7F1C98CF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071F4905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6314" w14:paraId="2E9A333F" w14:textId="77777777" w:rsidTr="00BB64FA">
        <w:trPr>
          <w:trHeight w:val="32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1531AA8B" w14:textId="5D19B02B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  <w:tc>
          <w:tcPr>
            <w:tcW w:w="1768" w:type="dxa"/>
          </w:tcPr>
          <w:p w14:paraId="5BC598A7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6849D3" w14:textId="6668C11E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14E4E764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C8DA299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50A3950F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6314" w14:paraId="1A5E9B29" w14:textId="77777777" w:rsidTr="00BB64FA">
        <w:trPr>
          <w:trHeight w:val="32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6CACC6B5" w14:textId="3D885BE8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  <w:tc>
          <w:tcPr>
            <w:tcW w:w="1768" w:type="dxa"/>
          </w:tcPr>
          <w:p w14:paraId="70FA4851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501141" w14:textId="467E2911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09B2BC10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8E5764C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05F81C34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6314" w14:paraId="692615F5" w14:textId="77777777" w:rsidTr="00BB64FA">
        <w:trPr>
          <w:trHeight w:val="32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3A732413" w14:textId="333A978B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</w:t>
            </w:r>
          </w:p>
        </w:tc>
        <w:tc>
          <w:tcPr>
            <w:tcW w:w="1768" w:type="dxa"/>
          </w:tcPr>
          <w:p w14:paraId="5DD08319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3BBEDF" w14:textId="4CB52EC8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05166647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475E6F9C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0CEC87E5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6314" w14:paraId="2B37DD20" w14:textId="77777777" w:rsidTr="00BB64FA">
        <w:trPr>
          <w:trHeight w:val="32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752559ED" w14:textId="1C459AD0" w:rsidR="00136314" w:rsidRDefault="00AB7052" w:rsidP="00C874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0,</w:t>
            </w:r>
            <w:r w:rsidR="0013631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68" w:type="dxa"/>
          </w:tcPr>
          <w:p w14:paraId="4148B376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F7D7F4" w14:textId="23424B1F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324730D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485E712B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6A286858" w14:textId="77777777" w:rsidR="00136314" w:rsidRDefault="00136314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7052" w14:paraId="110AB264" w14:textId="77777777" w:rsidTr="00BB64FA">
        <w:trPr>
          <w:trHeight w:val="320"/>
        </w:trPr>
        <w:tc>
          <w:tcPr>
            <w:tcW w:w="1399" w:type="dxa"/>
            <w:shd w:val="clear" w:color="auto" w:fill="auto"/>
            <w:noWrap/>
            <w:vAlign w:val="bottom"/>
          </w:tcPr>
          <w:p w14:paraId="6EF8E7FC" w14:textId="16F1ED75" w:rsidR="00AB7052" w:rsidRDefault="00AB7052" w:rsidP="00C87402">
            <w:pPr>
              <w:jc w:val="right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0,12</w:t>
            </w:r>
          </w:p>
        </w:tc>
        <w:tc>
          <w:tcPr>
            <w:tcW w:w="1768" w:type="dxa"/>
          </w:tcPr>
          <w:p w14:paraId="5DE891D3" w14:textId="77777777" w:rsidR="00AB7052" w:rsidRDefault="00AB7052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2F3F6B" w14:textId="77777777" w:rsidR="00AB7052" w:rsidRDefault="00AB7052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35A0B7B3" w14:textId="77777777" w:rsidR="00AB7052" w:rsidRDefault="00AB7052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71B420F8" w14:textId="77777777" w:rsidR="00AB7052" w:rsidRDefault="00AB7052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2661CD38" w14:textId="77777777" w:rsidR="00AB7052" w:rsidRDefault="00AB7052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7052" w14:paraId="0B87BD4E" w14:textId="77777777" w:rsidTr="00BB64FA">
        <w:trPr>
          <w:trHeight w:val="320"/>
        </w:trPr>
        <w:tc>
          <w:tcPr>
            <w:tcW w:w="1399" w:type="dxa"/>
            <w:shd w:val="clear" w:color="auto" w:fill="auto"/>
            <w:noWrap/>
            <w:vAlign w:val="bottom"/>
          </w:tcPr>
          <w:p w14:paraId="777C4594" w14:textId="3125449F" w:rsidR="00AB7052" w:rsidRDefault="00AB7052" w:rsidP="00C87402">
            <w:pPr>
              <w:jc w:val="right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0,14</w:t>
            </w:r>
          </w:p>
        </w:tc>
        <w:tc>
          <w:tcPr>
            <w:tcW w:w="1768" w:type="dxa"/>
          </w:tcPr>
          <w:p w14:paraId="7586293C" w14:textId="77777777" w:rsidR="00AB7052" w:rsidRDefault="00AB7052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E8E759" w14:textId="77777777" w:rsidR="00AB7052" w:rsidRDefault="00AB7052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0000140" w14:textId="77777777" w:rsidR="00AB7052" w:rsidRDefault="00AB7052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3B3CA567" w14:textId="77777777" w:rsidR="00AB7052" w:rsidRDefault="00AB7052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20A24041" w14:textId="77777777" w:rsidR="00AB7052" w:rsidRDefault="00AB7052" w:rsidP="00C8740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27781A2A" w14:textId="45907681" w:rsidR="00A82A0A" w:rsidRDefault="00A82A0A" w:rsidP="008C727A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1B850F8B" w14:textId="4E90B22E" w:rsidR="009162CE" w:rsidRDefault="009162CE" w:rsidP="009162CE">
      <w:pPr>
        <w:pStyle w:val="Standard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BB4069">
        <w:rPr>
          <w:bCs/>
          <w:sz w:val="24"/>
          <w:szCs w:val="24"/>
        </w:rPr>
        <w:t>) Πώς επηρεάζ</w:t>
      </w:r>
      <w:r>
        <w:rPr>
          <w:bCs/>
          <w:sz w:val="24"/>
          <w:szCs w:val="24"/>
        </w:rPr>
        <w:t>ουν τη διεγερσιμότητα του νευρώνα οι διαφορετικοί ιοντικοί δίαυλοι;</w:t>
      </w:r>
    </w:p>
    <w:p w14:paraId="2010719E" w14:textId="31E38B3F" w:rsidR="001B1016" w:rsidRDefault="001B1016" w:rsidP="009162CE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0161C95B" w14:textId="77777777" w:rsidR="001B1016" w:rsidRDefault="001B1016" w:rsidP="009162CE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521F0403" w14:textId="77777777" w:rsidR="00A82A0A" w:rsidRDefault="00A82A0A" w:rsidP="008C727A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32108F78" w14:textId="77777777" w:rsidR="00BB4069" w:rsidRPr="00BB4069" w:rsidRDefault="00BB4069" w:rsidP="00046D7E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534DC0EA" w14:textId="77777777" w:rsidR="00385341" w:rsidRDefault="00385341" w:rsidP="00046D7E">
      <w:pPr>
        <w:pStyle w:val="Standard"/>
        <w:spacing w:line="360" w:lineRule="auto"/>
        <w:jc w:val="both"/>
        <w:rPr>
          <w:b/>
          <w:sz w:val="24"/>
          <w:szCs w:val="24"/>
        </w:rPr>
      </w:pPr>
    </w:p>
    <w:p w14:paraId="55BF1562" w14:textId="40032275" w:rsidR="008B5575" w:rsidRPr="007E017C" w:rsidRDefault="008B5575" w:rsidP="00046D7E">
      <w:pPr>
        <w:pStyle w:val="Standard"/>
        <w:spacing w:line="360" w:lineRule="auto"/>
        <w:jc w:val="both"/>
        <w:rPr>
          <w:b/>
          <w:sz w:val="24"/>
          <w:szCs w:val="24"/>
        </w:rPr>
      </w:pPr>
      <w:r w:rsidRPr="007E017C">
        <w:rPr>
          <w:b/>
          <w:sz w:val="24"/>
          <w:szCs w:val="24"/>
        </w:rPr>
        <w:t>Άσκηση 3 – Μελέτη των ιδιοτήτων του δυναμικού ενέργειας στα νευρικά κύτταρα</w:t>
      </w:r>
    </w:p>
    <w:p w14:paraId="00F0F6C5" w14:textId="77777777" w:rsidR="00BB64FA" w:rsidRDefault="00BB64FA" w:rsidP="00BB64FA">
      <w:pPr>
        <w:pStyle w:val="Standard"/>
        <w:spacing w:line="360" w:lineRule="auto"/>
        <w:jc w:val="both"/>
        <w:rPr>
          <w:b/>
          <w:sz w:val="24"/>
          <w:szCs w:val="24"/>
        </w:rPr>
      </w:pPr>
    </w:p>
    <w:p w14:paraId="0397937C" w14:textId="3EA182CD" w:rsidR="00BB64FA" w:rsidRDefault="00BB64FA" w:rsidP="00BB64F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Για να κάνετε </w:t>
      </w:r>
      <w:r>
        <w:rPr>
          <w:b/>
          <w:sz w:val="24"/>
          <w:szCs w:val="24"/>
        </w:rPr>
        <w:t xml:space="preserve">αυτή </w:t>
      </w:r>
      <w:r>
        <w:rPr>
          <w:b/>
          <w:sz w:val="24"/>
          <w:szCs w:val="24"/>
        </w:rPr>
        <w:t xml:space="preserve">την άσκηση, συνδεθείτε στο </w:t>
      </w:r>
      <w:hyperlink r:id="rId6" w:history="1">
        <w:r w:rsidRPr="00A45725">
          <w:rPr>
            <w:rStyle w:val="Hyperlink"/>
            <w:sz w:val="24"/>
            <w:szCs w:val="24"/>
            <w:lang w:val="en-US"/>
          </w:rPr>
          <w:t>https</w:t>
        </w:r>
        <w:r w:rsidRPr="00A45725">
          <w:rPr>
            <w:rStyle w:val="Hyperlink"/>
            <w:sz w:val="24"/>
            <w:szCs w:val="24"/>
          </w:rPr>
          <w:t>://</w:t>
        </w:r>
        <w:proofErr w:type="spellStart"/>
        <w:r w:rsidRPr="00A45725">
          <w:rPr>
            <w:rStyle w:val="Hyperlink"/>
            <w:sz w:val="24"/>
            <w:szCs w:val="24"/>
            <w:lang w:val="en-US"/>
          </w:rPr>
          <w:t>colab</w:t>
        </w:r>
        <w:proofErr w:type="spellEnd"/>
        <w:r w:rsidRPr="00A45725">
          <w:rPr>
            <w:rStyle w:val="Hyperlink"/>
            <w:sz w:val="24"/>
            <w:szCs w:val="24"/>
          </w:rPr>
          <w:t>.</w:t>
        </w:r>
        <w:r w:rsidRPr="00A45725">
          <w:rPr>
            <w:rStyle w:val="Hyperlink"/>
            <w:sz w:val="24"/>
            <w:szCs w:val="24"/>
            <w:lang w:val="en-US"/>
          </w:rPr>
          <w:t>research</w:t>
        </w:r>
        <w:r w:rsidRPr="00A45725">
          <w:rPr>
            <w:rStyle w:val="Hyperlink"/>
            <w:sz w:val="24"/>
            <w:szCs w:val="24"/>
          </w:rPr>
          <w:t>.</w:t>
        </w:r>
        <w:r w:rsidRPr="00A45725">
          <w:rPr>
            <w:rStyle w:val="Hyperlink"/>
            <w:sz w:val="24"/>
            <w:szCs w:val="24"/>
            <w:lang w:val="en-US"/>
          </w:rPr>
          <w:t>google</w:t>
        </w:r>
        <w:r w:rsidRPr="00A45725">
          <w:rPr>
            <w:rStyle w:val="Hyperlink"/>
            <w:sz w:val="24"/>
            <w:szCs w:val="24"/>
          </w:rPr>
          <w:t>.</w:t>
        </w:r>
        <w:r w:rsidRPr="00A45725">
          <w:rPr>
            <w:rStyle w:val="Hyperlink"/>
            <w:sz w:val="24"/>
            <w:szCs w:val="24"/>
            <w:lang w:val="en-US"/>
          </w:rPr>
          <w:t>com</w:t>
        </w:r>
        <w:r w:rsidRPr="00A45725">
          <w:rPr>
            <w:rStyle w:val="Hyperlink"/>
            <w:sz w:val="24"/>
            <w:szCs w:val="24"/>
          </w:rPr>
          <w:t>/</w:t>
        </w:r>
      </w:hyperlink>
      <w:r>
        <w:rPr>
          <w:sz w:val="24"/>
          <w:szCs w:val="24"/>
        </w:rPr>
        <w:t xml:space="preserve"> και ανοίξτε το αρχείο </w:t>
      </w:r>
      <w:r w:rsidRPr="008341D2">
        <w:rPr>
          <w:sz w:val="24"/>
          <w:szCs w:val="24"/>
        </w:rPr>
        <w:t>erg6-askisi</w:t>
      </w:r>
      <w:r>
        <w:rPr>
          <w:sz w:val="24"/>
          <w:szCs w:val="24"/>
        </w:rPr>
        <w:t>3</w:t>
      </w:r>
      <w:r w:rsidRPr="008341D2">
        <w:rPr>
          <w:sz w:val="24"/>
          <w:szCs w:val="24"/>
        </w:rPr>
        <w:t>.ipynb</w:t>
      </w:r>
    </w:p>
    <w:p w14:paraId="5523C00F" w14:textId="3BC7CFDC" w:rsidR="00BB64FA" w:rsidRPr="00434DBE" w:rsidRDefault="00434DBE" w:rsidP="00BB64FA">
      <w:pPr>
        <w:pStyle w:val="Standard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Με βάση τις προσομοιώσεις που θα τρέξετε, συμπληρώστε τον παρακάτω πίνακα. </w:t>
      </w:r>
    </w:p>
    <w:p w14:paraId="03670D73" w14:textId="77777777" w:rsidR="00B85073" w:rsidRPr="00D92BFF" w:rsidRDefault="00B85073" w:rsidP="00046D7E">
      <w:pPr>
        <w:pStyle w:val="Standard"/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37"/>
        <w:gridCol w:w="871"/>
        <w:gridCol w:w="1033"/>
        <w:gridCol w:w="1033"/>
        <w:gridCol w:w="900"/>
        <w:gridCol w:w="900"/>
        <w:gridCol w:w="870"/>
        <w:gridCol w:w="870"/>
      </w:tblGrid>
      <w:tr w:rsidR="00D92BFF" w:rsidRPr="00D92BFF" w14:paraId="15A8B528" w14:textId="77777777" w:rsidTr="00D92BFF">
        <w:trPr>
          <w:trHeight w:val="680"/>
        </w:trPr>
        <w:tc>
          <w:tcPr>
            <w:tcW w:w="1696" w:type="dxa"/>
            <w:hideMark/>
          </w:tcPr>
          <w:p w14:paraId="18A339F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Πειραματικές παραάμετροι</w:t>
            </w:r>
          </w:p>
        </w:tc>
        <w:tc>
          <w:tcPr>
            <w:tcW w:w="1708" w:type="dxa"/>
            <w:gridSpan w:val="2"/>
            <w:hideMark/>
          </w:tcPr>
          <w:p w14:paraId="48F38468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Φυσιολογικός νευρώνας</w:t>
            </w:r>
          </w:p>
        </w:tc>
        <w:tc>
          <w:tcPr>
            <w:tcW w:w="2066" w:type="dxa"/>
            <w:gridSpan w:val="2"/>
            <w:noWrap/>
            <w:hideMark/>
          </w:tcPr>
          <w:p w14:paraId="412B752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μείωση νατρίου (gNa)</w:t>
            </w:r>
          </w:p>
        </w:tc>
        <w:tc>
          <w:tcPr>
            <w:tcW w:w="1800" w:type="dxa"/>
            <w:gridSpan w:val="2"/>
            <w:noWrap/>
            <w:hideMark/>
          </w:tcPr>
          <w:p w14:paraId="3B3A3E2C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μείωση καλίου (gK)</w:t>
            </w:r>
          </w:p>
        </w:tc>
        <w:tc>
          <w:tcPr>
            <w:tcW w:w="1740" w:type="dxa"/>
            <w:gridSpan w:val="2"/>
            <w:hideMark/>
          </w:tcPr>
          <w:p w14:paraId="446FF221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μείωση διαύλων διαρροής (gLeak)</w:t>
            </w:r>
          </w:p>
        </w:tc>
      </w:tr>
      <w:tr w:rsidR="00D92BFF" w:rsidRPr="00D92BFF" w14:paraId="133B1434" w14:textId="77777777" w:rsidTr="00D92BFF">
        <w:trPr>
          <w:trHeight w:val="320"/>
        </w:trPr>
        <w:tc>
          <w:tcPr>
            <w:tcW w:w="1696" w:type="dxa"/>
            <w:noWrap/>
            <w:hideMark/>
          </w:tcPr>
          <w:p w14:paraId="734927EE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gNA</w:t>
            </w:r>
          </w:p>
        </w:tc>
        <w:tc>
          <w:tcPr>
            <w:tcW w:w="837" w:type="dxa"/>
            <w:noWrap/>
            <w:hideMark/>
          </w:tcPr>
          <w:p w14:paraId="588DCFBE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36796A5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480B23FD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6E7077E6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BB4AE55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D90F5C8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0D31B9B9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47AEAD4C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</w:tr>
      <w:tr w:rsidR="00D92BFF" w:rsidRPr="00D92BFF" w14:paraId="23FF259B" w14:textId="77777777" w:rsidTr="00D92BFF">
        <w:trPr>
          <w:trHeight w:val="320"/>
        </w:trPr>
        <w:tc>
          <w:tcPr>
            <w:tcW w:w="1696" w:type="dxa"/>
            <w:noWrap/>
            <w:hideMark/>
          </w:tcPr>
          <w:p w14:paraId="5C82CF54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gK</w:t>
            </w:r>
          </w:p>
        </w:tc>
        <w:tc>
          <w:tcPr>
            <w:tcW w:w="837" w:type="dxa"/>
            <w:noWrap/>
            <w:hideMark/>
          </w:tcPr>
          <w:p w14:paraId="2158AB73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1B61DC3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22A0AA84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08BA5A48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02624D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2603E2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413CFCF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5BC15C4F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</w:tr>
      <w:tr w:rsidR="00D92BFF" w:rsidRPr="00D92BFF" w14:paraId="55D87912" w14:textId="77777777" w:rsidTr="00D92BFF">
        <w:trPr>
          <w:trHeight w:val="320"/>
        </w:trPr>
        <w:tc>
          <w:tcPr>
            <w:tcW w:w="1696" w:type="dxa"/>
            <w:noWrap/>
            <w:hideMark/>
          </w:tcPr>
          <w:p w14:paraId="0E527C29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gleak</w:t>
            </w:r>
          </w:p>
        </w:tc>
        <w:tc>
          <w:tcPr>
            <w:tcW w:w="837" w:type="dxa"/>
            <w:noWrap/>
            <w:hideMark/>
          </w:tcPr>
          <w:p w14:paraId="0D71E400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54482D4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105BED03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31A05871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F6DC469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114D66C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7772C4D3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08F5B975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</w:tr>
      <w:tr w:rsidR="00D92BFF" w:rsidRPr="00D92BFF" w14:paraId="5C691C5F" w14:textId="77777777" w:rsidTr="00D92BFF">
        <w:trPr>
          <w:trHeight w:val="680"/>
        </w:trPr>
        <w:tc>
          <w:tcPr>
            <w:tcW w:w="1696" w:type="dxa"/>
            <w:hideMark/>
          </w:tcPr>
          <w:p w14:paraId="6CA990E3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Δυναμικό ηρεμίας</w:t>
            </w:r>
          </w:p>
        </w:tc>
        <w:tc>
          <w:tcPr>
            <w:tcW w:w="837" w:type="dxa"/>
            <w:noWrap/>
            <w:hideMark/>
          </w:tcPr>
          <w:p w14:paraId="40283D24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2BE5E79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3C3B445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48B98529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03661A5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14CB210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4657CF5A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31BA8ABC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</w:tr>
      <w:tr w:rsidR="00D92BFF" w:rsidRPr="00D92BFF" w14:paraId="74F4EA0A" w14:textId="77777777" w:rsidTr="00D92BFF">
        <w:trPr>
          <w:trHeight w:val="1020"/>
        </w:trPr>
        <w:tc>
          <w:tcPr>
            <w:tcW w:w="1696" w:type="dxa"/>
            <w:hideMark/>
          </w:tcPr>
          <w:p w14:paraId="47724CB1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Μέγιστο του δυναμικού ενέργειας</w:t>
            </w:r>
          </w:p>
        </w:tc>
        <w:tc>
          <w:tcPr>
            <w:tcW w:w="837" w:type="dxa"/>
            <w:noWrap/>
            <w:hideMark/>
          </w:tcPr>
          <w:p w14:paraId="06F4F686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7EA22C72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2E90135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6842C93E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52F4B2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2630C21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0CD53C96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6B81FDDD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</w:tr>
      <w:tr w:rsidR="00D92BFF" w:rsidRPr="00D92BFF" w14:paraId="35C78C71" w14:textId="77777777" w:rsidTr="00D92BFF">
        <w:trPr>
          <w:trHeight w:val="1020"/>
        </w:trPr>
        <w:tc>
          <w:tcPr>
            <w:tcW w:w="1696" w:type="dxa"/>
            <w:hideMark/>
          </w:tcPr>
          <w:p w14:paraId="72C36B0E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Ύψος του δυναμικού ενέργειας</w:t>
            </w:r>
          </w:p>
        </w:tc>
        <w:tc>
          <w:tcPr>
            <w:tcW w:w="837" w:type="dxa"/>
            <w:noWrap/>
            <w:hideMark/>
          </w:tcPr>
          <w:p w14:paraId="4DEEE7CE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13F9D14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607A00E6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43816254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5A60422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CF9817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6AE88865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75C5868B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</w:tr>
      <w:tr w:rsidR="00D92BFF" w:rsidRPr="00D92BFF" w14:paraId="788B5457" w14:textId="77777777" w:rsidTr="00D92BFF">
        <w:trPr>
          <w:trHeight w:val="1700"/>
        </w:trPr>
        <w:tc>
          <w:tcPr>
            <w:tcW w:w="1696" w:type="dxa"/>
            <w:hideMark/>
          </w:tcPr>
          <w:p w14:paraId="43638DF6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Χρόνος που συμβαίνει το μέγιστο του δυναμικού ενέργειας</w:t>
            </w:r>
          </w:p>
        </w:tc>
        <w:tc>
          <w:tcPr>
            <w:tcW w:w="837" w:type="dxa"/>
            <w:noWrap/>
            <w:hideMark/>
          </w:tcPr>
          <w:p w14:paraId="5D49F812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79BEC558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26A5B602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3E443A13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A74D274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EBA870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64DAFE0B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4050D86B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</w:tr>
      <w:tr w:rsidR="00D92BFF" w:rsidRPr="00D92BFF" w14:paraId="1F4699C3" w14:textId="77777777" w:rsidTr="00D92BFF">
        <w:trPr>
          <w:trHeight w:val="680"/>
        </w:trPr>
        <w:tc>
          <w:tcPr>
            <w:tcW w:w="1696" w:type="dxa"/>
            <w:hideMark/>
          </w:tcPr>
          <w:p w14:paraId="142F74C9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t1 της ανοδικής φάσης (0mV)</w:t>
            </w:r>
          </w:p>
        </w:tc>
        <w:tc>
          <w:tcPr>
            <w:tcW w:w="837" w:type="dxa"/>
            <w:noWrap/>
            <w:hideMark/>
          </w:tcPr>
          <w:p w14:paraId="7B9FFB23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3726FCA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18377ED0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2408B0A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C6DCE41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B8EA0C8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49BAD439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1F6C780F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</w:tr>
      <w:tr w:rsidR="00D92BFF" w:rsidRPr="00D92BFF" w14:paraId="2AEFC12F" w14:textId="77777777" w:rsidTr="00D92BFF">
        <w:trPr>
          <w:trHeight w:val="680"/>
        </w:trPr>
        <w:tc>
          <w:tcPr>
            <w:tcW w:w="1696" w:type="dxa"/>
            <w:hideMark/>
          </w:tcPr>
          <w:p w14:paraId="72859E29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t2 της καθοδικής φάσης (0mV)</w:t>
            </w:r>
          </w:p>
        </w:tc>
        <w:tc>
          <w:tcPr>
            <w:tcW w:w="837" w:type="dxa"/>
            <w:noWrap/>
            <w:hideMark/>
          </w:tcPr>
          <w:p w14:paraId="0B118050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9742274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375A881E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2724C7C8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911182D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FD94BFE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3E451A5A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7C10C8AE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</w:tr>
      <w:tr w:rsidR="00D92BFF" w:rsidRPr="00D92BFF" w14:paraId="60F7C8EF" w14:textId="77777777" w:rsidTr="00D92BFF">
        <w:trPr>
          <w:trHeight w:val="1020"/>
        </w:trPr>
        <w:tc>
          <w:tcPr>
            <w:tcW w:w="1696" w:type="dxa"/>
            <w:hideMark/>
          </w:tcPr>
          <w:p w14:paraId="4AD2F939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ΔΧ (διάρκεια του δυναμικού ενέργειας)</w:t>
            </w:r>
          </w:p>
        </w:tc>
        <w:tc>
          <w:tcPr>
            <w:tcW w:w="837" w:type="dxa"/>
            <w:noWrap/>
            <w:hideMark/>
          </w:tcPr>
          <w:p w14:paraId="1AAFCEAF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598D448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3314BDA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3DBC6DEF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0D2417F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D27462F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06BC3087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7C9E538A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</w:tr>
      <w:tr w:rsidR="00D92BFF" w:rsidRPr="00D92BFF" w14:paraId="7C2B08FB" w14:textId="77777777" w:rsidTr="00D92BFF">
        <w:trPr>
          <w:trHeight w:val="340"/>
        </w:trPr>
        <w:tc>
          <w:tcPr>
            <w:tcW w:w="1696" w:type="dxa"/>
            <w:hideMark/>
          </w:tcPr>
          <w:p w14:paraId="1CE45B5B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μεθυπερπόλωση</w:t>
            </w:r>
          </w:p>
        </w:tc>
        <w:tc>
          <w:tcPr>
            <w:tcW w:w="837" w:type="dxa"/>
            <w:noWrap/>
            <w:hideMark/>
          </w:tcPr>
          <w:p w14:paraId="7F91866D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0CDEF1AC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5FEA0084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1033" w:type="dxa"/>
            <w:noWrap/>
            <w:hideMark/>
          </w:tcPr>
          <w:p w14:paraId="2F22A82A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F9A0F6C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44E9CF8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46E89DCD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  <w:tc>
          <w:tcPr>
            <w:tcW w:w="870" w:type="dxa"/>
            <w:noWrap/>
            <w:hideMark/>
          </w:tcPr>
          <w:p w14:paraId="64FA94CA" w14:textId="77777777" w:rsidR="00D92BFF" w:rsidRPr="00D92BFF" w:rsidRDefault="00D92BFF" w:rsidP="00D92BFF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en-GR"/>
              </w:rPr>
            </w:pPr>
            <w:r w:rsidRPr="00D92BFF">
              <w:rPr>
                <w:sz w:val="22"/>
                <w:szCs w:val="22"/>
                <w:lang w:val="en-GR"/>
              </w:rPr>
              <w:t> </w:t>
            </w:r>
          </w:p>
        </w:tc>
      </w:tr>
    </w:tbl>
    <w:p w14:paraId="70B8C175" w14:textId="77777777" w:rsidR="00D92BFF" w:rsidRDefault="00D92BFF" w:rsidP="00D92BFF">
      <w:pPr>
        <w:pStyle w:val="Standard"/>
        <w:spacing w:line="360" w:lineRule="auto"/>
        <w:jc w:val="both"/>
        <w:rPr>
          <w:sz w:val="24"/>
          <w:szCs w:val="24"/>
        </w:rPr>
      </w:pPr>
    </w:p>
    <w:p w14:paraId="670C9E19" w14:textId="58A5EE6D" w:rsidR="00B85073" w:rsidRPr="007E017C" w:rsidRDefault="00B85073" w:rsidP="00D92BFF">
      <w:pPr>
        <w:pStyle w:val="Standard"/>
        <w:spacing w:line="360" w:lineRule="auto"/>
        <w:jc w:val="both"/>
        <w:rPr>
          <w:sz w:val="24"/>
          <w:szCs w:val="24"/>
        </w:rPr>
      </w:pPr>
      <w:r w:rsidRPr="007E017C">
        <w:rPr>
          <w:sz w:val="24"/>
          <w:szCs w:val="24"/>
        </w:rPr>
        <w:lastRenderedPageBreak/>
        <w:t xml:space="preserve"> Μην ξεχάσετε να σημειώσετε τις μονάδες μέτρησης.</w:t>
      </w:r>
    </w:p>
    <w:p w14:paraId="6A1A0404" w14:textId="77777777" w:rsidR="00B85073" w:rsidRPr="007E017C" w:rsidRDefault="00B85073" w:rsidP="00046D7E">
      <w:pPr>
        <w:pStyle w:val="Standard"/>
        <w:spacing w:line="360" w:lineRule="auto"/>
        <w:jc w:val="both"/>
        <w:rPr>
          <w:sz w:val="24"/>
          <w:szCs w:val="24"/>
        </w:rPr>
      </w:pPr>
    </w:p>
    <w:p w14:paraId="6E3A10BC" w14:textId="5DBDE552" w:rsidR="00B85073" w:rsidRPr="00D92BFF" w:rsidRDefault="00B85073" w:rsidP="00D406A0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92BFF">
        <w:rPr>
          <w:sz w:val="24"/>
          <w:szCs w:val="24"/>
        </w:rPr>
        <w:t xml:space="preserve">Περιγράψτε πώς αλλάζει το σχήμα του δυναμικού ενεργείας όταν </w:t>
      </w:r>
      <w:r w:rsidR="00D92BFF">
        <w:rPr>
          <w:sz w:val="24"/>
          <w:szCs w:val="24"/>
        </w:rPr>
        <w:t xml:space="preserve">μειώνεται η αγωγιμότητα των </w:t>
      </w:r>
      <w:proofErr w:type="spellStart"/>
      <w:r w:rsidR="00D92BFF">
        <w:rPr>
          <w:sz w:val="24"/>
          <w:szCs w:val="24"/>
        </w:rPr>
        <w:t>τασοελεγχόμενων</w:t>
      </w:r>
      <w:proofErr w:type="spellEnd"/>
      <w:r w:rsidR="00D92BFF">
        <w:rPr>
          <w:sz w:val="24"/>
          <w:szCs w:val="24"/>
        </w:rPr>
        <w:t xml:space="preserve"> διαύλων νατρίου.</w:t>
      </w:r>
    </w:p>
    <w:p w14:paraId="06531E46" w14:textId="4FFBEF1F" w:rsidR="00B85073" w:rsidRPr="007E017C" w:rsidRDefault="00B85073" w:rsidP="00046D7E">
      <w:pPr>
        <w:pStyle w:val="Standard"/>
        <w:spacing w:line="360" w:lineRule="auto"/>
        <w:jc w:val="both"/>
        <w:rPr>
          <w:sz w:val="24"/>
          <w:szCs w:val="24"/>
        </w:rPr>
      </w:pPr>
    </w:p>
    <w:p w14:paraId="39BF8B9B" w14:textId="16B52619" w:rsidR="00D92BFF" w:rsidRPr="00D92BFF" w:rsidRDefault="00B85073" w:rsidP="00D92BFF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92BFF">
        <w:rPr>
          <w:sz w:val="24"/>
          <w:szCs w:val="24"/>
        </w:rPr>
        <w:t xml:space="preserve">Περιγράψτε πώς αλλάζει το σχήμα του δυναμικού ενεργείας </w:t>
      </w:r>
      <w:r w:rsidR="00D92BFF" w:rsidRPr="00D92BFF">
        <w:rPr>
          <w:sz w:val="24"/>
          <w:szCs w:val="24"/>
        </w:rPr>
        <w:t xml:space="preserve">όταν </w:t>
      </w:r>
      <w:r w:rsidR="00D92BFF">
        <w:rPr>
          <w:sz w:val="24"/>
          <w:szCs w:val="24"/>
        </w:rPr>
        <w:t xml:space="preserve">μειώνεται η αγωγιμότητα των </w:t>
      </w:r>
      <w:proofErr w:type="spellStart"/>
      <w:r w:rsidR="00D92BFF">
        <w:rPr>
          <w:sz w:val="24"/>
          <w:szCs w:val="24"/>
        </w:rPr>
        <w:t>τασοελεγχόμενων</w:t>
      </w:r>
      <w:proofErr w:type="spellEnd"/>
      <w:r w:rsidR="00D92BFF">
        <w:rPr>
          <w:sz w:val="24"/>
          <w:szCs w:val="24"/>
        </w:rPr>
        <w:t xml:space="preserve"> διαύλων </w:t>
      </w:r>
      <w:r w:rsidR="00D92BFF">
        <w:rPr>
          <w:sz w:val="24"/>
          <w:szCs w:val="24"/>
        </w:rPr>
        <w:t>καλίου.</w:t>
      </w:r>
    </w:p>
    <w:p w14:paraId="785169C1" w14:textId="77777777" w:rsidR="00B85073" w:rsidRPr="007E017C" w:rsidRDefault="00B85073" w:rsidP="00046D7E">
      <w:pPr>
        <w:pStyle w:val="Standard"/>
        <w:spacing w:line="360" w:lineRule="auto"/>
        <w:jc w:val="both"/>
        <w:rPr>
          <w:sz w:val="24"/>
          <w:szCs w:val="24"/>
        </w:rPr>
      </w:pPr>
    </w:p>
    <w:p w14:paraId="665306AC" w14:textId="77777777" w:rsidR="00B85073" w:rsidRPr="007E017C" w:rsidRDefault="00B85073" w:rsidP="00046D7E">
      <w:pPr>
        <w:pStyle w:val="Standard"/>
        <w:spacing w:line="360" w:lineRule="auto"/>
        <w:jc w:val="both"/>
        <w:rPr>
          <w:sz w:val="24"/>
          <w:szCs w:val="24"/>
        </w:rPr>
      </w:pPr>
    </w:p>
    <w:p w14:paraId="49B43993" w14:textId="7E835E26" w:rsidR="00D92BFF" w:rsidRPr="00D92BFF" w:rsidRDefault="00D92BFF" w:rsidP="00D92BFF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92BFF">
        <w:rPr>
          <w:sz w:val="24"/>
          <w:szCs w:val="24"/>
        </w:rPr>
        <w:t xml:space="preserve">Περιγράψτε πώς αλλάζει το σχήμα του δυναμικού ενεργείας όταν </w:t>
      </w:r>
      <w:r>
        <w:rPr>
          <w:sz w:val="24"/>
          <w:szCs w:val="24"/>
        </w:rPr>
        <w:t xml:space="preserve">μειώνεται η αγωγιμότητα των </w:t>
      </w:r>
      <w:proofErr w:type="spellStart"/>
      <w:r>
        <w:rPr>
          <w:sz w:val="24"/>
          <w:szCs w:val="24"/>
        </w:rPr>
        <w:t>τασοελεγχόμενων</w:t>
      </w:r>
      <w:proofErr w:type="spellEnd"/>
      <w:r>
        <w:rPr>
          <w:sz w:val="24"/>
          <w:szCs w:val="24"/>
        </w:rPr>
        <w:t xml:space="preserve"> διαύλων </w:t>
      </w:r>
      <w:proofErr w:type="spellStart"/>
      <w:r>
        <w:rPr>
          <w:sz w:val="24"/>
          <w:szCs w:val="24"/>
        </w:rPr>
        <w:t>διαροής</w:t>
      </w:r>
      <w:proofErr w:type="spellEnd"/>
      <w:r>
        <w:rPr>
          <w:sz w:val="24"/>
          <w:szCs w:val="24"/>
        </w:rPr>
        <w:t xml:space="preserve">. </w:t>
      </w:r>
    </w:p>
    <w:p w14:paraId="6708C747" w14:textId="77777777" w:rsidR="00B85073" w:rsidRPr="007E017C" w:rsidRDefault="00B85073" w:rsidP="00046D7E">
      <w:pPr>
        <w:pStyle w:val="Standard"/>
        <w:spacing w:line="360" w:lineRule="auto"/>
        <w:jc w:val="both"/>
        <w:rPr>
          <w:sz w:val="24"/>
          <w:szCs w:val="24"/>
        </w:rPr>
      </w:pPr>
    </w:p>
    <w:p w14:paraId="56D1E2A2" w14:textId="77777777" w:rsidR="00B85073" w:rsidRPr="007E017C" w:rsidRDefault="00B85073" w:rsidP="00046D7E">
      <w:pPr>
        <w:pStyle w:val="Standard"/>
        <w:spacing w:line="360" w:lineRule="auto"/>
        <w:jc w:val="both"/>
        <w:rPr>
          <w:sz w:val="24"/>
          <w:szCs w:val="24"/>
        </w:rPr>
      </w:pPr>
    </w:p>
    <w:p w14:paraId="58A45ED6" w14:textId="77777777" w:rsidR="00B85073" w:rsidRPr="007E017C" w:rsidRDefault="00B85073" w:rsidP="00046D7E">
      <w:pPr>
        <w:pStyle w:val="Standard"/>
        <w:spacing w:line="360" w:lineRule="auto"/>
        <w:jc w:val="both"/>
        <w:rPr>
          <w:sz w:val="24"/>
          <w:szCs w:val="24"/>
        </w:rPr>
      </w:pPr>
    </w:p>
    <w:p w14:paraId="34D727FC" w14:textId="77777777" w:rsidR="00B85073" w:rsidRPr="007E017C" w:rsidRDefault="00B85073" w:rsidP="00046D7E">
      <w:pPr>
        <w:pStyle w:val="Standard"/>
        <w:spacing w:line="360" w:lineRule="auto"/>
        <w:jc w:val="both"/>
        <w:rPr>
          <w:sz w:val="24"/>
          <w:szCs w:val="24"/>
        </w:rPr>
      </w:pPr>
    </w:p>
    <w:sectPr w:rsidR="00B85073" w:rsidRPr="007E017C" w:rsidSect="000632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22F"/>
    <w:multiLevelType w:val="multilevel"/>
    <w:tmpl w:val="88A0CE34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34C5554"/>
    <w:multiLevelType w:val="multilevel"/>
    <w:tmpl w:val="7920664C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90A0246"/>
    <w:multiLevelType w:val="multilevel"/>
    <w:tmpl w:val="D5221BEA"/>
    <w:styleLink w:val="WW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20F6AF6"/>
    <w:multiLevelType w:val="hybridMultilevel"/>
    <w:tmpl w:val="7336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F08A5"/>
    <w:multiLevelType w:val="multilevel"/>
    <w:tmpl w:val="B3E62E76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391688345">
    <w:abstractNumId w:val="2"/>
  </w:num>
  <w:num w:numId="2" w16cid:durableId="329258440">
    <w:abstractNumId w:val="0"/>
  </w:num>
  <w:num w:numId="3" w16cid:durableId="494222827">
    <w:abstractNumId w:val="1"/>
  </w:num>
  <w:num w:numId="4" w16cid:durableId="787166700">
    <w:abstractNumId w:val="4"/>
  </w:num>
  <w:num w:numId="5" w16cid:durableId="1824809513">
    <w:abstractNumId w:val="2"/>
    <w:lvlOverride w:ilvl="0">
      <w:startOverride w:val="1"/>
    </w:lvlOverride>
  </w:num>
  <w:num w:numId="6" w16cid:durableId="705374857">
    <w:abstractNumId w:val="2"/>
    <w:lvlOverride w:ilvl="0">
      <w:startOverride w:val="1"/>
    </w:lvlOverride>
  </w:num>
  <w:num w:numId="7" w16cid:durableId="986008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73"/>
    <w:rsid w:val="00046D7E"/>
    <w:rsid w:val="000551F9"/>
    <w:rsid w:val="000632EA"/>
    <w:rsid w:val="000A42B0"/>
    <w:rsid w:val="000F18D3"/>
    <w:rsid w:val="00136314"/>
    <w:rsid w:val="0015256A"/>
    <w:rsid w:val="001543F9"/>
    <w:rsid w:val="001724A0"/>
    <w:rsid w:val="00177425"/>
    <w:rsid w:val="001A5A74"/>
    <w:rsid w:val="001B1016"/>
    <w:rsid w:val="00220466"/>
    <w:rsid w:val="00220E7D"/>
    <w:rsid w:val="0023321F"/>
    <w:rsid w:val="00241667"/>
    <w:rsid w:val="00274ABC"/>
    <w:rsid w:val="002A2AC8"/>
    <w:rsid w:val="002D315B"/>
    <w:rsid w:val="00345D90"/>
    <w:rsid w:val="00385341"/>
    <w:rsid w:val="00391649"/>
    <w:rsid w:val="003A4195"/>
    <w:rsid w:val="0040085E"/>
    <w:rsid w:val="00405425"/>
    <w:rsid w:val="00434DBE"/>
    <w:rsid w:val="004E1D76"/>
    <w:rsid w:val="00512DA8"/>
    <w:rsid w:val="00530D00"/>
    <w:rsid w:val="0066071F"/>
    <w:rsid w:val="006E6CED"/>
    <w:rsid w:val="00704FC7"/>
    <w:rsid w:val="00733ED6"/>
    <w:rsid w:val="007533DD"/>
    <w:rsid w:val="0077614A"/>
    <w:rsid w:val="007B48EC"/>
    <w:rsid w:val="007E017C"/>
    <w:rsid w:val="00895F08"/>
    <w:rsid w:val="008B5575"/>
    <w:rsid w:val="008C727A"/>
    <w:rsid w:val="009039FA"/>
    <w:rsid w:val="00906601"/>
    <w:rsid w:val="009162CE"/>
    <w:rsid w:val="00936187"/>
    <w:rsid w:val="00950298"/>
    <w:rsid w:val="009F0C7D"/>
    <w:rsid w:val="00A05438"/>
    <w:rsid w:val="00A06869"/>
    <w:rsid w:val="00A5429D"/>
    <w:rsid w:val="00A82A0A"/>
    <w:rsid w:val="00A94FDA"/>
    <w:rsid w:val="00AB7052"/>
    <w:rsid w:val="00AE31F0"/>
    <w:rsid w:val="00B31B77"/>
    <w:rsid w:val="00B85073"/>
    <w:rsid w:val="00B93D3F"/>
    <w:rsid w:val="00BB4069"/>
    <w:rsid w:val="00BB64FA"/>
    <w:rsid w:val="00BD3764"/>
    <w:rsid w:val="00BD7100"/>
    <w:rsid w:val="00BE3344"/>
    <w:rsid w:val="00C137C4"/>
    <w:rsid w:val="00C22FF4"/>
    <w:rsid w:val="00CE2459"/>
    <w:rsid w:val="00D23125"/>
    <w:rsid w:val="00D92BFF"/>
    <w:rsid w:val="00DB5FFB"/>
    <w:rsid w:val="00DD13F5"/>
    <w:rsid w:val="00DE08EA"/>
    <w:rsid w:val="00DE1515"/>
    <w:rsid w:val="00E236E1"/>
    <w:rsid w:val="00E77C27"/>
    <w:rsid w:val="00E82ECF"/>
    <w:rsid w:val="00EB2801"/>
    <w:rsid w:val="00EC5C19"/>
    <w:rsid w:val="00F7742A"/>
    <w:rsid w:val="00F95283"/>
    <w:rsid w:val="00FB7F60"/>
    <w:rsid w:val="00FC2C4B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70C5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98"/>
    <w:rPr>
      <w:rFonts w:ascii="Times New Roman" w:eastAsia="Times New Roman" w:hAnsi="Times New Roman" w:cs="Times New Roman"/>
      <w:lang w:val="en-GR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85073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l-GR" w:eastAsia="el-GR"/>
    </w:rPr>
  </w:style>
  <w:style w:type="paragraph" w:styleId="ListParagraph">
    <w:name w:val="List Paragraph"/>
    <w:basedOn w:val="Standard"/>
    <w:uiPriority w:val="34"/>
    <w:qFormat/>
    <w:rsid w:val="00B85073"/>
    <w:pPr>
      <w:ind w:left="720"/>
    </w:pPr>
  </w:style>
  <w:style w:type="numbering" w:customStyle="1" w:styleId="WWNum38">
    <w:name w:val="WWNum38"/>
    <w:basedOn w:val="NoList"/>
    <w:rsid w:val="00B85073"/>
    <w:pPr>
      <w:numPr>
        <w:numId w:val="1"/>
      </w:numPr>
    </w:pPr>
  </w:style>
  <w:style w:type="numbering" w:customStyle="1" w:styleId="WWNum39">
    <w:name w:val="WWNum39"/>
    <w:basedOn w:val="NoList"/>
    <w:rsid w:val="00B85073"/>
    <w:pPr>
      <w:numPr>
        <w:numId w:val="2"/>
      </w:numPr>
    </w:pPr>
  </w:style>
  <w:style w:type="numbering" w:customStyle="1" w:styleId="WWNum40">
    <w:name w:val="WWNum40"/>
    <w:basedOn w:val="NoList"/>
    <w:rsid w:val="00B85073"/>
    <w:pPr>
      <w:numPr>
        <w:numId w:val="3"/>
      </w:numPr>
    </w:pPr>
  </w:style>
  <w:style w:type="numbering" w:customStyle="1" w:styleId="WWNum41">
    <w:name w:val="WWNum41"/>
    <w:basedOn w:val="NoList"/>
    <w:rsid w:val="00B85073"/>
    <w:pPr>
      <w:numPr>
        <w:numId w:val="4"/>
      </w:numPr>
    </w:pPr>
  </w:style>
  <w:style w:type="table" w:styleId="TableGrid">
    <w:name w:val="Table Grid"/>
    <w:basedOn w:val="TableNormal"/>
    <w:uiPriority w:val="39"/>
    <w:rsid w:val="00C1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D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45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ab.research.google.com/" TargetMode="External"/><Relationship Id="rId5" Type="http://schemas.openxmlformats.org/officeDocument/2006/relationships/hyperlink" Target="https://colab.research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kiki Sidiropoulou</cp:lastModifiedBy>
  <cp:revision>71</cp:revision>
  <dcterms:created xsi:type="dcterms:W3CDTF">2022-12-22T15:42:00Z</dcterms:created>
  <dcterms:modified xsi:type="dcterms:W3CDTF">2023-03-16T13:22:00Z</dcterms:modified>
</cp:coreProperties>
</file>